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1564" w:lineRule="exact"/>
        <w:ind w:right="27"/>
        <w:jc w:val="center"/>
        <w:rPr>
          <w:rFonts w:asciiTheme="minorEastAsia" w:hAnsiTheme="minorEastAsia" w:eastAsiaTheme="minorEastAsia" w:cstheme="minorEastAsia"/>
          <w:b/>
          <w:sz w:val="96"/>
        </w:rPr>
      </w:pPr>
    </w:p>
    <w:p>
      <w:pPr>
        <w:spacing w:line="1564" w:lineRule="exact"/>
        <w:ind w:right="27"/>
        <w:jc w:val="center"/>
        <w:rPr>
          <w:rFonts w:asciiTheme="minorEastAsia" w:hAnsiTheme="minorEastAsia" w:eastAsiaTheme="minorEastAsia" w:cstheme="minorEastAsia"/>
          <w:b/>
          <w:sz w:val="72"/>
        </w:rPr>
      </w:pPr>
      <w:r>
        <w:rPr>
          <w:rFonts w:hint="eastAsia" w:asciiTheme="minorEastAsia" w:hAnsiTheme="minorEastAsia" w:eastAsiaTheme="minorEastAsia" w:cstheme="minorEastAsia"/>
          <w:b/>
          <w:sz w:val="96"/>
          <w:lang w:val="en-US" w:eastAsia="zh-CN"/>
        </w:rPr>
        <w:t>长江新区</w:t>
      </w:r>
      <w:r>
        <w:rPr>
          <w:rFonts w:hint="eastAsia" w:asciiTheme="minorEastAsia" w:hAnsiTheme="minorEastAsia" w:eastAsiaTheme="minorEastAsia" w:cstheme="minorEastAsia"/>
          <w:b/>
          <w:sz w:val="96"/>
        </w:rPr>
        <w:t>政府采购</w:t>
      </w:r>
    </w:p>
    <w:p>
      <w:pPr>
        <w:spacing w:before="495"/>
        <w:ind w:right="26"/>
        <w:jc w:val="center"/>
        <w:rPr>
          <w:rFonts w:hint="default" w:asciiTheme="minorEastAsia" w:hAnsiTheme="minorEastAsia" w:eastAsiaTheme="minorEastAsia" w:cstheme="minorEastAsia"/>
          <w:b/>
          <w:sz w:val="72"/>
          <w:highlight w:val="none"/>
          <w:lang w:val="en-US" w:eastAsia="zh-CN"/>
        </w:rPr>
      </w:pPr>
      <w:r>
        <w:rPr>
          <w:rFonts w:hint="eastAsia" w:asciiTheme="minorEastAsia" w:hAnsiTheme="minorEastAsia" w:eastAsiaTheme="minorEastAsia" w:cstheme="minorEastAsia"/>
          <w:b/>
          <w:sz w:val="72"/>
          <w:highlight w:val="none"/>
          <w:lang w:val="en-US" w:eastAsia="zh-CN"/>
        </w:rPr>
        <w:t>竞争性磋商文件</w:t>
      </w:r>
    </w:p>
    <w:p>
      <w:pPr>
        <w:pStyle w:val="2"/>
        <w:spacing w:before="8"/>
        <w:rPr>
          <w:rFonts w:asciiTheme="minorEastAsia" w:hAnsiTheme="minorEastAsia" w:eastAsiaTheme="minorEastAsia" w:cstheme="minorEastAsia"/>
          <w:b/>
          <w:sz w:val="40"/>
        </w:rPr>
      </w:pPr>
    </w:p>
    <w:p>
      <w:pPr>
        <w:pStyle w:val="2"/>
        <w:spacing w:before="8"/>
        <w:rPr>
          <w:rFonts w:asciiTheme="minorEastAsia" w:hAnsiTheme="minorEastAsia" w:eastAsiaTheme="minorEastAsia" w:cstheme="minorEastAsia"/>
          <w:b/>
          <w:sz w:val="40"/>
        </w:rPr>
      </w:pPr>
    </w:p>
    <w:p>
      <w:pPr>
        <w:pStyle w:val="2"/>
        <w:spacing w:before="8"/>
        <w:rPr>
          <w:rFonts w:asciiTheme="minorEastAsia" w:hAnsiTheme="minorEastAsia" w:eastAsiaTheme="minorEastAsia" w:cstheme="minorEastAsia"/>
          <w:b/>
          <w:sz w:val="40"/>
        </w:rPr>
      </w:pPr>
    </w:p>
    <w:p>
      <w:pPr>
        <w:pStyle w:val="2"/>
        <w:spacing w:before="8"/>
        <w:rPr>
          <w:rFonts w:asciiTheme="minorEastAsia" w:hAnsiTheme="minorEastAsia" w:eastAsiaTheme="minorEastAsia" w:cstheme="minorEastAsia"/>
          <w:b/>
          <w:sz w:val="40"/>
        </w:rPr>
      </w:pPr>
    </w:p>
    <w:p>
      <w:pPr>
        <w:spacing w:line="360" w:lineRule="auto"/>
        <w:ind w:left="840" w:leftChars="400" w:right="-1210" w:rightChars="-576"/>
        <w:rPr>
          <w:rFonts w:hint="eastAsia" w:eastAsia="宋体"/>
          <w:b/>
          <w:sz w:val="32"/>
          <w:szCs w:val="32"/>
          <w:lang w:val="en-US" w:eastAsia="zh-CN"/>
        </w:rPr>
      </w:pPr>
      <w:r>
        <w:rPr>
          <w:rFonts w:hint="eastAsia"/>
          <w:b/>
          <w:sz w:val="32"/>
          <w:szCs w:val="32"/>
        </w:rPr>
        <w:t>项目编号：</w:t>
      </w:r>
      <w:r>
        <w:rPr>
          <w:rFonts w:hint="eastAsia"/>
          <w:b/>
          <w:sz w:val="32"/>
          <w:szCs w:val="32"/>
          <w:lang w:eastAsia="zh-CN"/>
        </w:rPr>
        <w:t>HBZC-ZB-2023-Z1055</w:t>
      </w:r>
    </w:p>
    <w:p>
      <w:pPr>
        <w:spacing w:line="360" w:lineRule="auto"/>
        <w:ind w:left="0" w:leftChars="0" w:right="-1210" w:rightChars="-576" w:firstLine="842" w:firstLineChars="262"/>
        <w:rPr>
          <w:rFonts w:hint="eastAsia"/>
          <w:b/>
          <w:sz w:val="32"/>
          <w:szCs w:val="32"/>
          <w:lang w:val="en-US" w:eastAsia="zh-CN"/>
        </w:rPr>
      </w:pPr>
      <w:r>
        <w:rPr>
          <w:rFonts w:hint="eastAsia"/>
          <w:b/>
          <w:sz w:val="32"/>
          <w:szCs w:val="32"/>
          <w:lang w:val="en-US" w:eastAsia="zh-CN"/>
        </w:rPr>
        <w:t>项目名称</w:t>
      </w:r>
      <w:r>
        <w:rPr>
          <w:rFonts w:hint="eastAsia"/>
          <w:b/>
          <w:sz w:val="32"/>
          <w:szCs w:val="32"/>
        </w:rPr>
        <w:t>：</w:t>
      </w:r>
      <w:r>
        <w:rPr>
          <w:rFonts w:hint="eastAsia"/>
          <w:b/>
          <w:sz w:val="32"/>
          <w:szCs w:val="32"/>
          <w:lang w:val="en-US" w:eastAsia="zh-CN"/>
        </w:rPr>
        <w:t>谌家矶片区明渠维护第三方服务</w:t>
      </w:r>
    </w:p>
    <w:p>
      <w:pPr>
        <w:spacing w:line="360" w:lineRule="auto"/>
        <w:ind w:left="0" w:leftChars="0" w:right="-1210" w:rightChars="-576" w:firstLine="842" w:firstLineChars="262"/>
        <w:rPr>
          <w:rFonts w:hint="eastAsia" w:eastAsia="宋体"/>
          <w:b/>
          <w:sz w:val="32"/>
          <w:szCs w:val="32"/>
          <w:lang w:eastAsia="zh-CN"/>
        </w:rPr>
      </w:pPr>
      <w:r>
        <w:rPr>
          <w:rFonts w:hint="eastAsia"/>
          <w:b/>
          <w:sz w:val="32"/>
          <w:szCs w:val="32"/>
        </w:rPr>
        <w:t>采 购 人：</w:t>
      </w:r>
      <w:r>
        <w:rPr>
          <w:rFonts w:hint="eastAsia"/>
          <w:b/>
          <w:sz w:val="32"/>
          <w:szCs w:val="32"/>
          <w:lang w:eastAsia="zh-CN"/>
        </w:rPr>
        <w:t>武汉长江新区生态环境和水务湖泊局</w:t>
      </w:r>
    </w:p>
    <w:p>
      <w:pPr>
        <w:spacing w:line="360" w:lineRule="auto"/>
        <w:ind w:left="840" w:leftChars="400" w:right="-1210" w:rightChars="-576"/>
        <w:rPr>
          <w:b/>
          <w:sz w:val="32"/>
          <w:szCs w:val="32"/>
        </w:rPr>
      </w:pPr>
      <w:r>
        <w:rPr>
          <w:rFonts w:hint="eastAsia"/>
          <w:b/>
          <w:sz w:val="32"/>
          <w:szCs w:val="32"/>
        </w:rPr>
        <w:t>采购方式：竞争性磋商</w:t>
      </w:r>
    </w:p>
    <w:p>
      <w:pPr>
        <w:spacing w:line="360" w:lineRule="auto"/>
        <w:ind w:left="840" w:leftChars="400" w:right="-1210" w:rightChars="-576"/>
        <w:rPr>
          <w:rFonts w:hint="eastAsia"/>
          <w:b/>
          <w:sz w:val="32"/>
          <w:szCs w:val="32"/>
        </w:rPr>
      </w:pPr>
      <w:r>
        <w:rPr>
          <w:rFonts w:hint="eastAsia"/>
          <w:b/>
          <w:sz w:val="32"/>
          <w:szCs w:val="32"/>
        </w:rPr>
        <w:t>代理机构：湖北中楚建设工程咨询有限公司</w:t>
      </w:r>
    </w:p>
    <w:p>
      <w:pPr>
        <w:spacing w:line="360" w:lineRule="auto"/>
        <w:ind w:left="420" w:leftChars="200" w:right="-1210" w:rightChars="-576" w:firstLine="2530" w:firstLineChars="900"/>
        <w:jc w:val="both"/>
        <w:rPr>
          <w:b/>
          <w:bCs/>
          <w:sz w:val="28"/>
          <w:szCs w:val="28"/>
        </w:rPr>
      </w:pPr>
      <w:r>
        <w:rPr>
          <w:rFonts w:hint="eastAsia"/>
          <w:b/>
          <w:bCs/>
          <w:sz w:val="28"/>
          <w:szCs w:val="28"/>
        </w:rPr>
        <w:t>二〇二</w:t>
      </w:r>
      <w:r>
        <w:rPr>
          <w:rFonts w:hint="eastAsia"/>
          <w:b/>
          <w:bCs/>
          <w:sz w:val="28"/>
          <w:szCs w:val="28"/>
          <w:lang w:val="en-US" w:eastAsia="zh-CN"/>
        </w:rPr>
        <w:t>三</w:t>
      </w:r>
      <w:r>
        <w:rPr>
          <w:rFonts w:hint="eastAsia"/>
          <w:b/>
          <w:bCs/>
          <w:sz w:val="28"/>
          <w:szCs w:val="28"/>
        </w:rPr>
        <w:t>年</w:t>
      </w:r>
      <w:r>
        <w:rPr>
          <w:rFonts w:hint="eastAsia"/>
          <w:b/>
          <w:bCs/>
          <w:sz w:val="28"/>
          <w:szCs w:val="28"/>
          <w:lang w:val="en-US" w:eastAsia="zh-CN"/>
        </w:rPr>
        <w:t>十一</w:t>
      </w:r>
      <w:r>
        <w:rPr>
          <w:rFonts w:hint="eastAsia"/>
          <w:b/>
          <w:bCs/>
          <w:sz w:val="28"/>
          <w:szCs w:val="28"/>
        </w:rPr>
        <w:t>月</w:t>
      </w:r>
    </w:p>
    <w:p>
      <w:pPr>
        <w:rPr>
          <w:b/>
          <w:bCs/>
          <w:sz w:val="28"/>
          <w:szCs w:val="28"/>
        </w:rPr>
      </w:pPr>
    </w:p>
    <w:p>
      <w:pPr>
        <w:jc w:val="center"/>
        <w:rPr>
          <w:b/>
          <w:bCs/>
          <w:sz w:val="28"/>
          <w:szCs w:val="28"/>
        </w:rPr>
      </w:pPr>
    </w:p>
    <w:p>
      <w:pPr>
        <w:pStyle w:val="21"/>
      </w:pPr>
    </w:p>
    <w:p>
      <w:pPr>
        <w:ind w:left="420" w:leftChars="200"/>
        <w:rPr>
          <w:sz w:val="28"/>
          <w:szCs w:val="28"/>
        </w:rPr>
      </w:pPr>
    </w:p>
    <w:p>
      <w:pPr>
        <w:pStyle w:val="21"/>
        <w:spacing w:line="360" w:lineRule="auto"/>
        <w:rPr>
          <w:rFonts w:asciiTheme="minorEastAsia" w:hAnsiTheme="minorEastAsia" w:eastAsiaTheme="minorEastAsia" w:cstheme="minorEastAsia"/>
          <w:color w:val="000000" w:themeColor="text1"/>
          <w:sz w:val="32"/>
          <w14:textFill>
            <w14:solidFill>
              <w14:schemeClr w14:val="tx1"/>
            </w14:solidFill>
          </w14:textFill>
        </w:rPr>
      </w:pPr>
      <w:r>
        <w:rPr>
          <w:rFonts w:hint="eastAsia"/>
          <w:sz w:val="28"/>
          <w:szCs w:val="28"/>
        </w:rPr>
        <w:t>采购人盖章：</w:t>
      </w:r>
      <w:r>
        <w:rPr>
          <w:rFonts w:hint="eastAsia"/>
          <w:sz w:val="28"/>
          <w:szCs w:val="28"/>
          <w:u w:val="single"/>
        </w:rPr>
        <w:t xml:space="preserve">                </w:t>
      </w:r>
      <w:r>
        <w:rPr>
          <w:rFonts w:hint="eastAsia"/>
          <w:sz w:val="28"/>
          <w:szCs w:val="28"/>
        </w:rPr>
        <w:t xml:space="preserve">    采购代理机构盖章：</w:t>
      </w:r>
      <w:r>
        <w:rPr>
          <w:rFonts w:hint="eastAsia"/>
          <w:sz w:val="28"/>
          <w:szCs w:val="28"/>
          <w:u w:val="single"/>
        </w:rPr>
        <w:t xml:space="preserve">                </w:t>
      </w:r>
    </w:p>
    <w:p>
      <w:pPr>
        <w:pStyle w:val="21"/>
        <w:spacing w:line="360" w:lineRule="auto"/>
        <w:jc w:val="right"/>
        <w:rPr>
          <w:rFonts w:asciiTheme="minorEastAsia" w:hAnsiTheme="minorEastAsia" w:eastAsiaTheme="minorEastAsia" w:cstheme="minorEastAsia"/>
          <w:color w:val="000000" w:themeColor="text1"/>
          <w:sz w:val="32"/>
          <w14:textFill>
            <w14:solidFill>
              <w14:schemeClr w14:val="tx1"/>
            </w14:solidFill>
          </w14:textFill>
        </w:rPr>
        <w:sectPr>
          <w:headerReference r:id="rId3" w:type="default"/>
          <w:pgSz w:w="11907" w:h="16840"/>
          <w:pgMar w:top="1418" w:right="1588" w:bottom="1247" w:left="1588" w:header="907" w:footer="907" w:gutter="0"/>
          <w:pgBorders>
            <w:top w:val="none" w:sz="0" w:space="0"/>
            <w:left w:val="none" w:sz="0" w:space="0"/>
            <w:bottom w:val="none" w:sz="0" w:space="0"/>
            <w:right w:val="none" w:sz="0" w:space="0"/>
          </w:pgBorders>
          <w:pgNumType w:fmt="numberInDash" w:start="1"/>
          <w:cols w:space="720" w:num="1"/>
          <w:docGrid w:linePitch="312" w:charSpace="0"/>
        </w:sectPr>
      </w:pPr>
    </w:p>
    <w:sdt>
      <w:sdtPr>
        <w:rPr>
          <w:rFonts w:ascii="宋体" w:hAnsi="宋体"/>
          <w:b/>
          <w:bCs/>
          <w:kern w:val="0"/>
          <w:sz w:val="28"/>
          <w:szCs w:val="36"/>
        </w:rPr>
        <w:id w:val="147481861"/>
        <w:docPartObj>
          <w:docPartGallery w:val="Table of Contents"/>
          <w:docPartUnique/>
        </w:docPartObj>
      </w:sdtPr>
      <w:sdtEndPr>
        <w:rPr>
          <w:rFonts w:hint="eastAsia" w:asciiTheme="minorEastAsia" w:hAnsiTheme="minorEastAsia" w:eastAsiaTheme="minorEastAsia" w:cstheme="minorEastAsia"/>
          <w:b/>
          <w:bCs/>
          <w:color w:val="000000" w:themeColor="text1"/>
          <w:kern w:val="0"/>
          <w:sz w:val="21"/>
          <w:szCs w:val="21"/>
          <w14:textFill>
            <w14:solidFill>
              <w14:schemeClr w14:val="tx1"/>
            </w14:solidFill>
          </w14:textFill>
        </w:rPr>
      </w:sdtEndPr>
      <w:sdtContent>
        <w:p>
          <w:pPr>
            <w:jc w:val="center"/>
            <w:rPr>
              <w:rFonts w:ascii="宋体" w:hAnsi="宋体"/>
              <w:b/>
              <w:bCs/>
              <w:kern w:val="0"/>
              <w:sz w:val="28"/>
              <w:szCs w:val="36"/>
            </w:rPr>
            <w:sectPr>
              <w:headerReference r:id="rId4" w:type="default"/>
              <w:footerReference r:id="rId5" w:type="default"/>
              <w:pgSz w:w="11907" w:h="16840"/>
              <w:pgMar w:top="1418" w:right="1588" w:bottom="1247" w:left="1588" w:header="907" w:footer="907" w:gutter="0"/>
              <w:pgBorders>
                <w:top w:val="none" w:sz="0" w:space="0"/>
                <w:left w:val="none" w:sz="0" w:space="0"/>
                <w:bottom w:val="none" w:sz="0" w:space="0"/>
                <w:right w:val="none" w:sz="0" w:space="0"/>
              </w:pgBorders>
              <w:pgNumType w:start="1"/>
              <w:cols w:space="720" w:num="1"/>
              <w:docGrid w:linePitch="312" w:charSpace="0"/>
            </w:sectPr>
          </w:pPr>
          <w:bookmarkStart w:id="0" w:name="_Hlt755815"/>
          <w:bookmarkEnd w:id="0"/>
          <w:bookmarkStart w:id="1" w:name="_Hlt3694704"/>
          <w:bookmarkEnd w:id="1"/>
          <w:bookmarkStart w:id="2" w:name="_Hlt9666464"/>
          <w:bookmarkEnd w:id="2"/>
          <w:bookmarkStart w:id="3" w:name="_Hlt536512945"/>
          <w:bookmarkEnd w:id="3"/>
          <w:bookmarkStart w:id="4" w:name="_Hlt755819"/>
          <w:bookmarkEnd w:id="4"/>
          <w:bookmarkStart w:id="5" w:name="_Hlt536512956"/>
          <w:bookmarkEnd w:id="5"/>
          <w:bookmarkStart w:id="6" w:name="_Hlt536244935"/>
          <w:bookmarkEnd w:id="6"/>
          <w:bookmarkStart w:id="7" w:name="_Hlt755817"/>
          <w:bookmarkEnd w:id="7"/>
          <w:bookmarkStart w:id="8" w:name="_Hlt758332"/>
          <w:bookmarkEnd w:id="8"/>
          <w:bookmarkStart w:id="9" w:name="_Hlt9415189"/>
          <w:bookmarkEnd w:id="9"/>
          <w:bookmarkStart w:id="10" w:name="_Hlt536512952"/>
          <w:bookmarkEnd w:id="10"/>
          <w:bookmarkStart w:id="11" w:name="_Hlt3013568"/>
          <w:bookmarkEnd w:id="11"/>
          <w:bookmarkStart w:id="12" w:name="_Hlt758338"/>
          <w:bookmarkEnd w:id="12"/>
          <w:bookmarkStart w:id="13" w:name="_Hlt755813"/>
          <w:bookmarkEnd w:id="13"/>
        </w:p>
        <w:p>
          <w:pPr>
            <w:jc w:val="center"/>
            <w:rPr>
              <w:b/>
              <w:bCs/>
              <w:sz w:val="28"/>
              <w:szCs w:val="36"/>
            </w:rPr>
          </w:pPr>
          <w:r>
            <w:rPr>
              <w:rFonts w:ascii="宋体" w:hAnsi="宋体"/>
              <w:b/>
              <w:bCs/>
              <w:sz w:val="28"/>
              <w:szCs w:val="36"/>
            </w:rPr>
            <w:t>目录</w:t>
          </w:r>
        </w:p>
        <w:p>
          <w:pPr>
            <w:pStyle w:val="165"/>
            <w:tabs>
              <w:tab w:val="right" w:leader="dot" w:pos="8731"/>
            </w:tabs>
            <w:rPr>
              <w:sz w:val="21"/>
              <w:szCs w:val="21"/>
            </w:rPr>
          </w:pP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2"/>
              <w14:textFill>
                <w14:solidFill>
                  <w14:schemeClr w14:val="tx1"/>
                </w14:solidFill>
              </w14:textFill>
            </w:rPr>
            <w:instrText xml:space="preserve">TOC \o "1-3" \h \u </w:instrText>
          </w: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separate"/>
          </w:r>
          <w:r>
            <w:rPr>
              <w:sz w:val="21"/>
              <w:szCs w:val="21"/>
            </w:rPr>
            <w:fldChar w:fldCharType="begin"/>
          </w:r>
          <w:r>
            <w:rPr>
              <w:sz w:val="21"/>
              <w:szCs w:val="21"/>
            </w:rPr>
            <w:instrText xml:space="preserve"> HYPERLINK \l "_Toc29046" </w:instrText>
          </w:r>
          <w:r>
            <w:rPr>
              <w:sz w:val="21"/>
              <w:szCs w:val="21"/>
            </w:rPr>
            <w:fldChar w:fldCharType="separate"/>
          </w:r>
          <w:r>
            <w:rPr>
              <w:rFonts w:hint="eastAsia"/>
              <w:b/>
              <w:bCs/>
              <w:sz w:val="24"/>
              <w:szCs w:val="52"/>
            </w:rPr>
            <w:t>第一章 竞争性磋商公告</w:t>
          </w:r>
          <w:r>
            <w:rPr>
              <w:b/>
              <w:bCs/>
              <w:sz w:val="24"/>
              <w:szCs w:val="24"/>
            </w:rPr>
            <w:tab/>
          </w:r>
          <w:r>
            <w:rPr>
              <w:b/>
              <w:bCs/>
              <w:sz w:val="24"/>
              <w:szCs w:val="24"/>
            </w:rPr>
            <w:fldChar w:fldCharType="begin"/>
          </w:r>
          <w:r>
            <w:rPr>
              <w:b/>
              <w:bCs/>
              <w:sz w:val="24"/>
              <w:szCs w:val="24"/>
            </w:rPr>
            <w:instrText xml:space="preserve"> PAGEREF _Toc29046 \h </w:instrText>
          </w:r>
          <w:r>
            <w:rPr>
              <w:b/>
              <w:bCs/>
              <w:sz w:val="24"/>
              <w:szCs w:val="24"/>
            </w:rPr>
            <w:fldChar w:fldCharType="separate"/>
          </w:r>
          <w:r>
            <w:rPr>
              <w:b/>
              <w:bCs/>
              <w:sz w:val="24"/>
              <w:szCs w:val="24"/>
            </w:rPr>
            <w:t>3</w:t>
          </w:r>
          <w:r>
            <w:rPr>
              <w:b/>
              <w:bCs/>
              <w:sz w:val="24"/>
              <w:szCs w:val="24"/>
            </w:rPr>
            <w:fldChar w:fldCharType="end"/>
          </w:r>
          <w:r>
            <w:rPr>
              <w:b/>
              <w:bCs/>
              <w:sz w:val="24"/>
              <w:szCs w:val="24"/>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"_Toc29412" </w:instrText>
          </w:r>
          <w:r>
            <w:rPr>
              <w:sz w:val="21"/>
              <w:szCs w:val="21"/>
            </w:rPr>
            <w:fldChar w:fldCharType="separate"/>
          </w:r>
          <w:r>
            <w:rPr>
              <w:rFonts w:hint="eastAsia" w:asciiTheme="minorEastAsia" w:hAnsiTheme="minorEastAsia" w:eastAsiaTheme="minorEastAsia" w:cstheme="minorEastAsia"/>
              <w:b/>
              <w:bCs/>
              <w:sz w:val="24"/>
              <w:szCs w:val="24"/>
            </w:rPr>
            <w:t>第二章 供应商须知</w:t>
          </w:r>
          <w:r>
            <w:rPr>
              <w:b/>
              <w:bCs/>
              <w:sz w:val="24"/>
              <w:szCs w:val="24"/>
            </w:rPr>
            <w:tab/>
          </w:r>
          <w:r>
            <w:rPr>
              <w:b/>
              <w:bCs/>
              <w:sz w:val="24"/>
              <w:szCs w:val="24"/>
            </w:rPr>
            <w:fldChar w:fldCharType="begin"/>
          </w:r>
          <w:r>
            <w:rPr>
              <w:b/>
              <w:bCs/>
              <w:sz w:val="24"/>
              <w:szCs w:val="24"/>
            </w:rPr>
            <w:instrText xml:space="preserve"> PAGEREF _Toc29412 \h </w:instrText>
          </w:r>
          <w:r>
            <w:rPr>
              <w:b/>
              <w:bCs/>
              <w:sz w:val="24"/>
              <w:szCs w:val="24"/>
            </w:rPr>
            <w:fldChar w:fldCharType="separate"/>
          </w:r>
          <w:r>
            <w:rPr>
              <w:b/>
              <w:bCs/>
              <w:sz w:val="24"/>
              <w:szCs w:val="24"/>
            </w:rPr>
            <w:t>5</w:t>
          </w:r>
          <w:r>
            <w:rPr>
              <w:b/>
              <w:bCs/>
              <w:sz w:val="24"/>
              <w:szCs w:val="24"/>
            </w:rPr>
            <w:fldChar w:fldCharType="end"/>
          </w:r>
          <w:r>
            <w:rPr>
              <w:b/>
              <w:bCs/>
              <w:sz w:val="24"/>
              <w:szCs w:val="24"/>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"_Toc22711" </w:instrText>
          </w:r>
          <w:r>
            <w:rPr>
              <w:sz w:val="21"/>
              <w:szCs w:val="21"/>
            </w:rPr>
            <w:fldChar w:fldCharType="separate"/>
          </w:r>
          <w:r>
            <w:rPr>
              <w:rFonts w:hint="eastAsia" w:asciiTheme="minorEastAsia" w:hAnsiTheme="minorEastAsia" w:eastAsiaTheme="minorEastAsia" w:cstheme="minorEastAsia"/>
              <w:sz w:val="21"/>
              <w:szCs w:val="22"/>
            </w:rPr>
            <w:t>《供应商须知前附表》</w:t>
          </w:r>
          <w:r>
            <w:rPr>
              <w:sz w:val="21"/>
              <w:szCs w:val="21"/>
            </w:rPr>
            <w:tab/>
          </w:r>
          <w:r>
            <w:rPr>
              <w:sz w:val="21"/>
              <w:szCs w:val="21"/>
            </w:rPr>
            <w:fldChar w:fldCharType="begin"/>
          </w:r>
          <w:r>
            <w:rPr>
              <w:sz w:val="21"/>
              <w:szCs w:val="21"/>
            </w:rPr>
            <w:instrText xml:space="preserve"> PAGEREF _Toc22711 \h </w:instrText>
          </w:r>
          <w:r>
            <w:rPr>
              <w:sz w:val="21"/>
              <w:szCs w:val="21"/>
            </w:rPr>
            <w:fldChar w:fldCharType="separate"/>
          </w:r>
          <w:r>
            <w:rPr>
              <w:sz w:val="21"/>
              <w:szCs w:val="21"/>
            </w:rPr>
            <w:t>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"_Toc22204" </w:instrText>
          </w:r>
          <w:r>
            <w:rPr>
              <w:sz w:val="21"/>
              <w:szCs w:val="21"/>
            </w:rPr>
            <w:fldChar w:fldCharType="separate"/>
          </w:r>
          <w:r>
            <w:rPr>
              <w:rFonts w:hint="eastAsia" w:asciiTheme="minorEastAsia" w:hAnsiTheme="minorEastAsia" w:eastAsiaTheme="minorEastAsia" w:cstheme="minorEastAsia"/>
              <w:sz w:val="21"/>
              <w:szCs w:val="22"/>
            </w:rPr>
            <w:t>供应商须知</w:t>
          </w:r>
          <w:r>
            <w:rPr>
              <w:sz w:val="21"/>
              <w:szCs w:val="21"/>
            </w:rPr>
            <w:tab/>
          </w:r>
          <w:r>
            <w:rPr>
              <w:sz w:val="21"/>
              <w:szCs w:val="21"/>
            </w:rPr>
            <w:fldChar w:fldCharType="begin"/>
          </w:r>
          <w:r>
            <w:rPr>
              <w:sz w:val="21"/>
              <w:szCs w:val="21"/>
            </w:rPr>
            <w:instrText xml:space="preserve"> PAGEREF _Toc22204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"_Toc24673" </w:instrText>
          </w:r>
          <w:r>
            <w:rPr>
              <w:sz w:val="21"/>
              <w:szCs w:val="21"/>
            </w:rPr>
            <w:fldChar w:fldCharType="separate"/>
          </w:r>
          <w:r>
            <w:rPr>
              <w:rFonts w:asciiTheme="minorEastAsia" w:hAnsiTheme="minorEastAsia" w:eastAsiaTheme="minorEastAsia" w:cstheme="minorEastAsia"/>
              <w:sz w:val="21"/>
              <w:szCs w:val="22"/>
            </w:rPr>
            <w:t xml:space="preserve">一、 </w:t>
          </w:r>
          <w:r>
            <w:rPr>
              <w:rFonts w:hint="eastAsia" w:asciiTheme="minorEastAsia" w:hAnsiTheme="minorEastAsia" w:eastAsiaTheme="minorEastAsia" w:cstheme="minorEastAsia"/>
              <w:sz w:val="21"/>
              <w:szCs w:val="22"/>
            </w:rPr>
            <w:t>总则</w:t>
          </w:r>
          <w:r>
            <w:rPr>
              <w:sz w:val="21"/>
              <w:szCs w:val="21"/>
            </w:rPr>
            <w:tab/>
          </w:r>
          <w:r>
            <w:rPr>
              <w:sz w:val="21"/>
              <w:szCs w:val="21"/>
            </w:rPr>
            <w:fldChar w:fldCharType="begin"/>
          </w:r>
          <w:r>
            <w:rPr>
              <w:sz w:val="21"/>
              <w:szCs w:val="21"/>
            </w:rPr>
            <w:instrText xml:space="preserve"> PAGEREF _Toc24673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"_Toc16838" </w:instrText>
          </w:r>
          <w:r>
            <w:rPr>
              <w:sz w:val="21"/>
              <w:szCs w:val="21"/>
            </w:rPr>
            <w:fldChar w:fldCharType="separate"/>
          </w:r>
          <w:r>
            <w:rPr>
              <w:rFonts w:asciiTheme="minorEastAsia" w:hAnsiTheme="minorEastAsia" w:eastAsiaTheme="minorEastAsia" w:cstheme="minorEastAsia"/>
              <w:sz w:val="21"/>
              <w:szCs w:val="22"/>
            </w:rPr>
            <w:t xml:space="preserve">1、 </w:t>
          </w:r>
          <w:r>
            <w:rPr>
              <w:rFonts w:hint="eastAsia" w:asciiTheme="minorEastAsia" w:hAnsiTheme="minorEastAsia" w:eastAsiaTheme="minorEastAsia" w:cstheme="minorEastAsia"/>
              <w:sz w:val="21"/>
              <w:szCs w:val="22"/>
            </w:rPr>
            <w:t>适用范围</w:t>
          </w:r>
          <w:r>
            <w:rPr>
              <w:sz w:val="21"/>
              <w:szCs w:val="21"/>
            </w:rPr>
            <w:tab/>
          </w:r>
          <w:r>
            <w:rPr>
              <w:sz w:val="21"/>
              <w:szCs w:val="21"/>
            </w:rPr>
            <w:fldChar w:fldCharType="begin"/>
          </w:r>
          <w:r>
            <w:rPr>
              <w:sz w:val="21"/>
              <w:szCs w:val="21"/>
            </w:rPr>
            <w:instrText xml:space="preserve"> PAGEREF _Toc16838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"_Toc17991" </w:instrText>
          </w:r>
          <w:r>
            <w:rPr>
              <w:sz w:val="21"/>
              <w:szCs w:val="21"/>
            </w:rPr>
            <w:fldChar w:fldCharType="separate"/>
          </w:r>
          <w:r>
            <w:rPr>
              <w:rFonts w:asciiTheme="minorEastAsia" w:hAnsiTheme="minorEastAsia" w:eastAsiaTheme="minorEastAsia" w:cstheme="minorEastAsia"/>
              <w:sz w:val="21"/>
              <w:szCs w:val="22"/>
            </w:rPr>
            <w:t xml:space="preserve">2、 </w:t>
          </w:r>
          <w:r>
            <w:rPr>
              <w:rFonts w:hint="eastAsia" w:asciiTheme="minorEastAsia" w:hAnsiTheme="minorEastAsia" w:eastAsiaTheme="minorEastAsia" w:cstheme="minorEastAsia"/>
              <w:sz w:val="21"/>
              <w:szCs w:val="22"/>
            </w:rPr>
            <w:t>定义</w:t>
          </w:r>
          <w:r>
            <w:rPr>
              <w:sz w:val="21"/>
              <w:szCs w:val="21"/>
            </w:rPr>
            <w:tab/>
          </w:r>
          <w:r>
            <w:rPr>
              <w:sz w:val="21"/>
              <w:szCs w:val="21"/>
            </w:rPr>
            <w:fldChar w:fldCharType="begin"/>
          </w:r>
          <w:r>
            <w:rPr>
              <w:sz w:val="21"/>
              <w:szCs w:val="21"/>
            </w:rPr>
            <w:instrText xml:space="preserve"> PAGEREF _Toc17991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"_Toc5026" </w:instrText>
          </w:r>
          <w:r>
            <w:rPr>
              <w:sz w:val="21"/>
              <w:szCs w:val="21"/>
            </w:rPr>
            <w:fldChar w:fldCharType="separate"/>
          </w:r>
          <w:r>
            <w:rPr>
              <w:rFonts w:asciiTheme="minorEastAsia" w:hAnsiTheme="minorEastAsia" w:eastAsiaTheme="minorEastAsia" w:cstheme="minorEastAsia"/>
              <w:sz w:val="21"/>
              <w:szCs w:val="22"/>
            </w:rPr>
            <w:t xml:space="preserve">3、 </w:t>
          </w:r>
          <w:r>
            <w:rPr>
              <w:rFonts w:hint="eastAsia" w:asciiTheme="minorEastAsia" w:hAnsiTheme="minorEastAsia" w:eastAsiaTheme="minorEastAsia" w:cstheme="minorEastAsia"/>
              <w:snapToGrid w:val="0"/>
              <w:sz w:val="21"/>
              <w:szCs w:val="22"/>
              <w:lang w:val="zh-CN"/>
            </w:rPr>
            <w:t>工程、货物及服务</w:t>
          </w:r>
          <w:r>
            <w:rPr>
              <w:sz w:val="21"/>
              <w:szCs w:val="21"/>
            </w:rPr>
            <w:tab/>
          </w:r>
          <w:r>
            <w:rPr>
              <w:sz w:val="21"/>
              <w:szCs w:val="21"/>
            </w:rPr>
            <w:fldChar w:fldCharType="begin"/>
          </w:r>
          <w:r>
            <w:rPr>
              <w:sz w:val="21"/>
              <w:szCs w:val="21"/>
            </w:rPr>
            <w:instrText xml:space="preserve"> PAGEREF _Toc5026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"_Toc23590" </w:instrText>
          </w:r>
          <w:r>
            <w:rPr>
              <w:sz w:val="21"/>
              <w:szCs w:val="21"/>
            </w:rPr>
            <w:fldChar w:fldCharType="separate"/>
          </w:r>
          <w:r>
            <w:rPr>
              <w:rFonts w:asciiTheme="minorEastAsia" w:hAnsiTheme="minorEastAsia" w:eastAsiaTheme="minorEastAsia" w:cstheme="minorEastAsia"/>
              <w:sz w:val="21"/>
              <w:szCs w:val="22"/>
            </w:rPr>
            <w:t xml:space="preserve">4、 </w:t>
          </w:r>
          <w:r>
            <w:rPr>
              <w:rFonts w:hint="eastAsia" w:asciiTheme="minorEastAsia" w:hAnsiTheme="minorEastAsia" w:eastAsiaTheme="minorEastAsia" w:cstheme="minorEastAsia"/>
              <w:sz w:val="21"/>
              <w:szCs w:val="22"/>
            </w:rPr>
            <w:t>费用</w:t>
          </w:r>
          <w:r>
            <w:rPr>
              <w:sz w:val="21"/>
              <w:szCs w:val="21"/>
            </w:rPr>
            <w:tab/>
          </w:r>
          <w:r>
            <w:rPr>
              <w:sz w:val="21"/>
              <w:szCs w:val="21"/>
            </w:rPr>
            <w:fldChar w:fldCharType="begin"/>
          </w:r>
          <w:r>
            <w:rPr>
              <w:sz w:val="21"/>
              <w:szCs w:val="21"/>
            </w:rPr>
            <w:instrText xml:space="preserve"> PAGEREF _Toc23590 \h </w:instrText>
          </w:r>
          <w:r>
            <w:rPr>
              <w:sz w:val="21"/>
              <w:szCs w:val="21"/>
            </w:rPr>
            <w:fldChar w:fldCharType="separate"/>
          </w:r>
          <w:r>
            <w:rPr>
              <w:sz w:val="21"/>
              <w:szCs w:val="21"/>
            </w:rPr>
            <w:t>13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"_Toc27983" </w:instrText>
          </w:r>
          <w:r>
            <w:rPr>
              <w:sz w:val="21"/>
              <w:szCs w:val="21"/>
            </w:rPr>
            <w:fldChar w:fldCharType="separate"/>
          </w:r>
          <w:r>
            <w:rPr>
              <w:rFonts w:asciiTheme="minorEastAsia" w:hAnsiTheme="minorEastAsia" w:eastAsiaTheme="minorEastAsia" w:cstheme="minorEastAsia"/>
              <w:sz w:val="21"/>
              <w:szCs w:val="22"/>
            </w:rPr>
            <w:t xml:space="preserve">二、 </w:t>
          </w:r>
          <w:r>
            <w:rPr>
              <w:rFonts w:hint="eastAsia" w:asciiTheme="minorEastAsia" w:hAnsiTheme="minorEastAsia" w:eastAsiaTheme="minorEastAsia" w:cstheme="minorEastAsia"/>
              <w:sz w:val="21"/>
              <w:szCs w:val="22"/>
            </w:rPr>
            <w:t>磋商文件</w:t>
          </w:r>
          <w:r>
            <w:rPr>
              <w:sz w:val="21"/>
              <w:szCs w:val="21"/>
            </w:rPr>
            <w:tab/>
          </w:r>
          <w:r>
            <w:rPr>
              <w:sz w:val="21"/>
              <w:szCs w:val="21"/>
            </w:rPr>
            <w:fldChar w:fldCharType="begin"/>
          </w:r>
          <w:r>
            <w:rPr>
              <w:sz w:val="21"/>
              <w:szCs w:val="21"/>
            </w:rPr>
            <w:instrText xml:space="preserve"> PAGEREF _Toc27983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"_Toc17515" </w:instrText>
          </w:r>
          <w:r>
            <w:rPr>
              <w:sz w:val="21"/>
              <w:szCs w:val="21"/>
            </w:rPr>
            <w:fldChar w:fldCharType="separate"/>
          </w:r>
          <w:r>
            <w:rPr>
              <w:rFonts w:asciiTheme="minorEastAsia" w:hAnsiTheme="minorEastAsia" w:eastAsiaTheme="minorEastAsia" w:cstheme="minorEastAsia"/>
              <w:sz w:val="21"/>
              <w:szCs w:val="22"/>
            </w:rPr>
            <w:t xml:space="preserve">5、 </w:t>
          </w:r>
          <w:r>
            <w:rPr>
              <w:rFonts w:hint="eastAsia" w:asciiTheme="minorEastAsia" w:hAnsiTheme="minorEastAsia" w:eastAsiaTheme="minorEastAsia" w:cstheme="minorEastAsia"/>
              <w:sz w:val="21"/>
              <w:szCs w:val="22"/>
            </w:rPr>
            <w:t>磋商文件的构成</w:t>
          </w:r>
          <w:r>
            <w:rPr>
              <w:sz w:val="21"/>
              <w:szCs w:val="21"/>
            </w:rPr>
            <w:tab/>
          </w:r>
          <w:r>
            <w:rPr>
              <w:sz w:val="21"/>
              <w:szCs w:val="21"/>
            </w:rPr>
            <w:fldChar w:fldCharType="begin"/>
          </w:r>
          <w:r>
            <w:rPr>
              <w:sz w:val="21"/>
              <w:szCs w:val="21"/>
            </w:rPr>
            <w:instrText xml:space="preserve"> PAGEREF _Toc17515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"_Toc32576"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6、 </w:t>
          </w:r>
          <w:r>
            <w:rPr>
              <w:rFonts w:hint="eastAsia" w:asciiTheme="minorEastAsia" w:hAnsiTheme="minorEastAsia" w:eastAsiaTheme="minorEastAsia" w:cstheme="minorEastAsia"/>
              <w:snapToGrid w:val="0"/>
              <w:sz w:val="21"/>
              <w:szCs w:val="22"/>
              <w:lang w:val="zh-CN"/>
            </w:rPr>
            <w:t>磋商文件的澄清或者修改</w:t>
          </w:r>
          <w:r>
            <w:rPr>
              <w:sz w:val="21"/>
              <w:szCs w:val="21"/>
            </w:rPr>
            <w:tab/>
          </w:r>
          <w:r>
            <w:rPr>
              <w:sz w:val="21"/>
              <w:szCs w:val="21"/>
            </w:rPr>
            <w:fldChar w:fldCharType="begin"/>
          </w:r>
          <w:r>
            <w:rPr>
              <w:sz w:val="21"/>
              <w:szCs w:val="21"/>
            </w:rPr>
            <w:instrText xml:space="preserve"> PAGEREF _Toc32576 \h </w:instrText>
          </w:r>
          <w:r>
            <w:rPr>
              <w:sz w:val="21"/>
              <w:szCs w:val="21"/>
            </w:rPr>
            <w:fldChar w:fldCharType="separate"/>
          </w:r>
          <w:r>
            <w:rPr>
              <w:sz w:val="21"/>
              <w:szCs w:val="21"/>
            </w:rPr>
            <w:t>14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"_Toc11891"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7、 </w:t>
          </w:r>
          <w:r>
            <w:rPr>
              <w:rFonts w:hint="eastAsia" w:asciiTheme="minorEastAsia" w:hAnsiTheme="minorEastAsia" w:eastAsiaTheme="minorEastAsia" w:cstheme="minorEastAsia"/>
              <w:snapToGrid w:val="0"/>
              <w:sz w:val="21"/>
              <w:szCs w:val="22"/>
              <w:lang w:val="zh-CN"/>
            </w:rPr>
            <w:t>踏勘现场</w:t>
          </w:r>
          <w:r>
            <w:rPr>
              <w:sz w:val="21"/>
              <w:szCs w:val="21"/>
            </w:rPr>
            <w:tab/>
          </w:r>
          <w:r>
            <w:rPr>
              <w:sz w:val="21"/>
              <w:szCs w:val="21"/>
            </w:rPr>
            <w:fldChar w:fldCharType="begin"/>
          </w:r>
          <w:r>
            <w:rPr>
              <w:sz w:val="21"/>
              <w:szCs w:val="21"/>
            </w:rPr>
            <w:instrText xml:space="preserve"> PAGEREF _Toc11891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"_Toc24886" </w:instrText>
          </w:r>
          <w:r>
            <w:rPr>
              <w:sz w:val="21"/>
              <w:szCs w:val="21"/>
            </w:rPr>
            <w:fldChar w:fldCharType="separate"/>
          </w:r>
          <w:r>
            <w:rPr>
              <w:rFonts w:asciiTheme="minorEastAsia" w:hAnsiTheme="minorEastAsia" w:eastAsiaTheme="minorEastAsia" w:cstheme="minorEastAsia"/>
              <w:sz w:val="21"/>
              <w:szCs w:val="22"/>
            </w:rPr>
            <w:t xml:space="preserve">三、 </w:t>
          </w:r>
          <w:r>
            <w:rPr>
              <w:rFonts w:hint="eastAsia" w:asciiTheme="minorEastAsia" w:hAnsiTheme="minorEastAsia" w:eastAsiaTheme="minorEastAsia" w:cstheme="minorEastAsia"/>
              <w:sz w:val="21"/>
              <w:szCs w:val="22"/>
            </w:rPr>
            <w:t>竞争性磋商响应文件</w:t>
          </w:r>
          <w:r>
            <w:rPr>
              <w:sz w:val="21"/>
              <w:szCs w:val="21"/>
            </w:rPr>
            <w:tab/>
          </w:r>
          <w:r>
            <w:rPr>
              <w:sz w:val="21"/>
              <w:szCs w:val="21"/>
            </w:rPr>
            <w:fldChar w:fldCharType="begin"/>
          </w:r>
          <w:r>
            <w:rPr>
              <w:sz w:val="21"/>
              <w:szCs w:val="21"/>
            </w:rPr>
            <w:instrText xml:space="preserve"> PAGEREF _Toc24886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"_Toc10631"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8、 </w:t>
          </w:r>
          <w:r>
            <w:rPr>
              <w:rFonts w:hint="eastAsia" w:asciiTheme="minorEastAsia" w:hAnsiTheme="minorEastAsia" w:eastAsiaTheme="minorEastAsia" w:cstheme="minorEastAsia"/>
              <w:snapToGrid w:val="0"/>
              <w:sz w:val="21"/>
              <w:szCs w:val="22"/>
              <w:lang w:val="zh-CN"/>
            </w:rPr>
            <w:t>语言和计量单位</w:t>
          </w:r>
          <w:r>
            <w:rPr>
              <w:sz w:val="21"/>
              <w:szCs w:val="21"/>
            </w:rPr>
            <w:tab/>
          </w:r>
          <w:r>
            <w:rPr>
              <w:sz w:val="21"/>
              <w:szCs w:val="21"/>
            </w:rPr>
            <w:fldChar w:fldCharType="begin"/>
          </w:r>
          <w:r>
            <w:rPr>
              <w:sz w:val="21"/>
              <w:szCs w:val="21"/>
            </w:rPr>
            <w:instrText xml:space="preserve"> PAGEREF _Toc10631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"_Toc2486"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9、 </w:t>
          </w:r>
          <w:r>
            <w:rPr>
              <w:rFonts w:hint="eastAsia" w:asciiTheme="minorEastAsia" w:hAnsiTheme="minorEastAsia" w:eastAsiaTheme="minorEastAsia" w:cstheme="minorEastAsia"/>
              <w:snapToGrid w:val="0"/>
              <w:sz w:val="21"/>
              <w:szCs w:val="22"/>
              <w:lang w:val="zh-CN"/>
            </w:rPr>
            <w:t>竞争性磋商响应文件的构成</w:t>
          </w:r>
          <w:r>
            <w:rPr>
              <w:sz w:val="21"/>
              <w:szCs w:val="21"/>
            </w:rPr>
            <w:tab/>
          </w:r>
          <w:r>
            <w:rPr>
              <w:sz w:val="21"/>
              <w:szCs w:val="21"/>
            </w:rPr>
            <w:fldChar w:fldCharType="begin"/>
          </w:r>
          <w:r>
            <w:rPr>
              <w:sz w:val="21"/>
              <w:szCs w:val="21"/>
            </w:rPr>
            <w:instrText xml:space="preserve"> PAGEREF _Toc2486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"_Toc27890"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10、 </w:t>
          </w:r>
          <w:r>
            <w:rPr>
              <w:rFonts w:hint="eastAsia" w:asciiTheme="minorEastAsia" w:hAnsiTheme="minorEastAsia" w:eastAsiaTheme="minorEastAsia" w:cstheme="minorEastAsia"/>
              <w:snapToGrid w:val="0"/>
              <w:sz w:val="21"/>
              <w:szCs w:val="22"/>
              <w:lang w:val="zh-CN"/>
            </w:rPr>
            <w:t>磋商保证金</w:t>
          </w:r>
          <w:r>
            <w:rPr>
              <w:sz w:val="21"/>
              <w:szCs w:val="21"/>
            </w:rPr>
            <w:tab/>
          </w:r>
          <w:r>
            <w:rPr>
              <w:sz w:val="21"/>
              <w:szCs w:val="21"/>
            </w:rPr>
            <w:fldChar w:fldCharType="begin"/>
          </w:r>
          <w:r>
            <w:rPr>
              <w:sz w:val="21"/>
              <w:szCs w:val="21"/>
            </w:rPr>
            <w:instrText xml:space="preserve"> PAGEREF _Toc27890 \h </w:instrText>
          </w:r>
          <w:r>
            <w:rPr>
              <w:sz w:val="21"/>
              <w:szCs w:val="21"/>
            </w:rPr>
            <w:fldChar w:fldCharType="separate"/>
          </w:r>
          <w:r>
            <w:rPr>
              <w:sz w:val="21"/>
              <w:szCs w:val="21"/>
            </w:rPr>
            <w:t>15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"_Toc27217"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11、 </w:t>
          </w:r>
          <w:r>
            <w:rPr>
              <w:rFonts w:hint="eastAsia" w:asciiTheme="minorEastAsia" w:hAnsiTheme="minorEastAsia" w:eastAsiaTheme="minorEastAsia" w:cstheme="minorEastAsia"/>
              <w:snapToGrid w:val="0"/>
              <w:sz w:val="21"/>
              <w:szCs w:val="22"/>
              <w:lang w:val="zh-CN"/>
            </w:rPr>
            <w:t>竞争性磋商响应文件的编制</w:t>
          </w:r>
          <w:r>
            <w:rPr>
              <w:sz w:val="21"/>
              <w:szCs w:val="21"/>
            </w:rPr>
            <w:tab/>
          </w:r>
          <w:r>
            <w:rPr>
              <w:sz w:val="21"/>
              <w:szCs w:val="21"/>
            </w:rPr>
            <w:fldChar w:fldCharType="begin"/>
          </w:r>
          <w:r>
            <w:rPr>
              <w:sz w:val="21"/>
              <w:szCs w:val="21"/>
            </w:rPr>
            <w:instrText xml:space="preserve"> PAGEREF _Toc27217 \h </w:instrText>
          </w:r>
          <w:r>
            <w:rPr>
              <w:sz w:val="21"/>
              <w:szCs w:val="21"/>
            </w:rPr>
            <w:fldChar w:fldCharType="separate"/>
          </w:r>
          <w:r>
            <w:rPr>
              <w:sz w:val="21"/>
              <w:szCs w:val="21"/>
            </w:rPr>
            <w:t>16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"_Toc9646"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12、 </w:t>
          </w:r>
          <w:r>
            <w:rPr>
              <w:rFonts w:hint="eastAsia" w:asciiTheme="minorEastAsia" w:hAnsiTheme="minorEastAsia" w:eastAsiaTheme="minorEastAsia" w:cstheme="minorEastAsia"/>
              <w:snapToGrid w:val="0"/>
              <w:sz w:val="21"/>
              <w:szCs w:val="22"/>
              <w:lang w:val="zh-CN"/>
            </w:rPr>
            <w:t>磋商报价</w:t>
          </w:r>
          <w:r>
            <w:rPr>
              <w:sz w:val="21"/>
              <w:szCs w:val="21"/>
            </w:rPr>
            <w:tab/>
          </w:r>
          <w:r>
            <w:rPr>
              <w:sz w:val="21"/>
              <w:szCs w:val="21"/>
            </w:rPr>
            <w:fldChar w:fldCharType="begin"/>
          </w:r>
          <w:r>
            <w:rPr>
              <w:sz w:val="21"/>
              <w:szCs w:val="21"/>
            </w:rPr>
            <w:instrText xml:space="preserve"> PAGEREF _Toc9646 \h </w:instrText>
          </w:r>
          <w:r>
            <w:rPr>
              <w:sz w:val="21"/>
              <w:szCs w:val="21"/>
            </w:rPr>
            <w:fldChar w:fldCharType="separate"/>
          </w:r>
          <w:r>
            <w:rPr>
              <w:sz w:val="21"/>
              <w:szCs w:val="21"/>
            </w:rPr>
            <w:t>16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"_Toc7965"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13、 </w:t>
          </w:r>
          <w:r>
            <w:rPr>
              <w:rFonts w:hint="eastAsia" w:asciiTheme="minorEastAsia" w:hAnsiTheme="minorEastAsia" w:eastAsiaTheme="minorEastAsia" w:cstheme="minorEastAsia"/>
              <w:snapToGrid w:val="0"/>
              <w:sz w:val="21"/>
              <w:szCs w:val="22"/>
              <w:lang w:val="zh-CN"/>
            </w:rPr>
            <w:t>备选方案</w:t>
          </w:r>
          <w:r>
            <w:rPr>
              <w:sz w:val="21"/>
              <w:szCs w:val="21"/>
            </w:rPr>
            <w:tab/>
          </w:r>
          <w:r>
            <w:rPr>
              <w:sz w:val="21"/>
              <w:szCs w:val="21"/>
            </w:rPr>
            <w:fldChar w:fldCharType="begin"/>
          </w:r>
          <w:r>
            <w:rPr>
              <w:sz w:val="21"/>
              <w:szCs w:val="21"/>
            </w:rPr>
            <w:instrText xml:space="preserve"> PAGEREF _Toc7965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"_Toc7789"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14、 </w:t>
          </w:r>
          <w:r>
            <w:rPr>
              <w:rFonts w:hint="eastAsia" w:asciiTheme="minorEastAsia" w:hAnsiTheme="minorEastAsia" w:eastAsiaTheme="minorEastAsia" w:cstheme="minorEastAsia"/>
              <w:snapToGrid w:val="0"/>
              <w:sz w:val="21"/>
              <w:szCs w:val="22"/>
              <w:lang w:val="zh-CN"/>
            </w:rPr>
            <w:t>联合体</w:t>
          </w:r>
          <w:r>
            <w:rPr>
              <w:sz w:val="21"/>
              <w:szCs w:val="21"/>
            </w:rPr>
            <w:tab/>
          </w:r>
          <w:r>
            <w:rPr>
              <w:sz w:val="21"/>
              <w:szCs w:val="21"/>
            </w:rPr>
            <w:fldChar w:fldCharType="begin"/>
          </w:r>
          <w:r>
            <w:rPr>
              <w:sz w:val="21"/>
              <w:szCs w:val="21"/>
            </w:rPr>
            <w:instrText xml:space="preserve"> PAGEREF _Toc7789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"_Toc21267"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15、 </w:t>
          </w:r>
          <w:r>
            <w:rPr>
              <w:rFonts w:hint="eastAsia" w:asciiTheme="minorEastAsia" w:hAnsiTheme="minorEastAsia" w:eastAsiaTheme="minorEastAsia" w:cstheme="minorEastAsia"/>
              <w:snapToGrid w:val="0"/>
              <w:sz w:val="21"/>
              <w:szCs w:val="22"/>
              <w:lang w:val="zh-CN"/>
            </w:rPr>
            <w:t>供应商资格证明文件</w:t>
          </w:r>
          <w:r>
            <w:rPr>
              <w:sz w:val="21"/>
              <w:szCs w:val="21"/>
            </w:rPr>
            <w:tab/>
          </w:r>
          <w:r>
            <w:rPr>
              <w:sz w:val="21"/>
              <w:szCs w:val="21"/>
            </w:rPr>
            <w:fldChar w:fldCharType="begin"/>
          </w:r>
          <w:r>
            <w:rPr>
              <w:sz w:val="21"/>
              <w:szCs w:val="21"/>
            </w:rPr>
            <w:instrText xml:space="preserve"> PAGEREF _Toc21267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"_Toc32020"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16、 </w:t>
          </w:r>
          <w:r>
            <w:rPr>
              <w:rFonts w:hint="eastAsia" w:asciiTheme="minorEastAsia" w:hAnsiTheme="minorEastAsia" w:eastAsiaTheme="minorEastAsia" w:cstheme="minorEastAsia"/>
              <w:snapToGrid w:val="0"/>
              <w:sz w:val="21"/>
              <w:szCs w:val="22"/>
              <w:lang w:val="zh-CN"/>
            </w:rPr>
            <w:t>证明报价内容、服务合格性和符合磋商文件规定的文件</w:t>
          </w:r>
          <w:r>
            <w:rPr>
              <w:sz w:val="21"/>
              <w:szCs w:val="21"/>
            </w:rPr>
            <w:tab/>
          </w:r>
          <w:r>
            <w:rPr>
              <w:sz w:val="21"/>
              <w:szCs w:val="21"/>
            </w:rPr>
            <w:fldChar w:fldCharType="begin"/>
          </w:r>
          <w:r>
            <w:rPr>
              <w:sz w:val="21"/>
              <w:szCs w:val="21"/>
            </w:rPr>
            <w:instrText xml:space="preserve"> PAGEREF _Toc32020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"_Toc18470"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17、 </w:t>
          </w:r>
          <w:r>
            <w:rPr>
              <w:rFonts w:hint="eastAsia" w:asciiTheme="minorEastAsia" w:hAnsiTheme="minorEastAsia" w:eastAsiaTheme="minorEastAsia" w:cstheme="minorEastAsia"/>
              <w:snapToGrid w:val="0"/>
              <w:sz w:val="21"/>
              <w:szCs w:val="22"/>
              <w:lang w:val="zh-CN"/>
            </w:rPr>
            <w:t>响应文件有效期</w:t>
          </w:r>
          <w:r>
            <w:rPr>
              <w:sz w:val="21"/>
              <w:szCs w:val="21"/>
            </w:rPr>
            <w:tab/>
          </w:r>
          <w:r>
            <w:rPr>
              <w:sz w:val="21"/>
              <w:szCs w:val="21"/>
            </w:rPr>
            <w:fldChar w:fldCharType="begin"/>
          </w:r>
          <w:r>
            <w:rPr>
              <w:sz w:val="21"/>
              <w:szCs w:val="21"/>
            </w:rPr>
            <w:instrText xml:space="preserve"> PAGEREF _Toc18470 \h </w:instrText>
          </w:r>
          <w:r>
            <w:rPr>
              <w:sz w:val="21"/>
              <w:szCs w:val="21"/>
            </w:rPr>
            <w:fldChar w:fldCharType="separate"/>
          </w:r>
          <w:r>
            <w:rPr>
              <w:sz w:val="21"/>
              <w:szCs w:val="21"/>
            </w:rPr>
            <w:t>17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"_Toc26848"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18、 </w:t>
          </w:r>
          <w:r>
            <w:rPr>
              <w:rFonts w:hint="eastAsia" w:asciiTheme="minorEastAsia" w:hAnsiTheme="minorEastAsia" w:eastAsiaTheme="minorEastAsia" w:cstheme="minorEastAsia"/>
              <w:snapToGrid w:val="0"/>
              <w:sz w:val="21"/>
              <w:szCs w:val="22"/>
              <w:lang w:val="zh-CN"/>
            </w:rPr>
            <w:t>响应文件的装订、签署和数量</w:t>
          </w:r>
          <w:r>
            <w:rPr>
              <w:sz w:val="21"/>
              <w:szCs w:val="21"/>
            </w:rPr>
            <w:tab/>
          </w:r>
          <w:r>
            <w:rPr>
              <w:sz w:val="21"/>
              <w:szCs w:val="21"/>
            </w:rPr>
            <w:fldChar w:fldCharType="begin"/>
          </w:r>
          <w:r>
            <w:rPr>
              <w:sz w:val="21"/>
              <w:szCs w:val="21"/>
            </w:rPr>
            <w:instrText xml:space="preserve"> PAGEREF _Toc26848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"_Toc10579" </w:instrText>
          </w:r>
          <w:r>
            <w:rPr>
              <w:sz w:val="21"/>
              <w:szCs w:val="21"/>
            </w:rPr>
            <w:fldChar w:fldCharType="separate"/>
          </w:r>
          <w:r>
            <w:rPr>
              <w:rFonts w:asciiTheme="minorEastAsia" w:hAnsiTheme="minorEastAsia" w:eastAsiaTheme="minorEastAsia" w:cstheme="minorEastAsia"/>
              <w:sz w:val="21"/>
              <w:szCs w:val="22"/>
            </w:rPr>
            <w:t xml:space="preserve">四、 </w:t>
          </w:r>
          <w:r>
            <w:rPr>
              <w:rFonts w:hint="eastAsia" w:asciiTheme="minorEastAsia" w:hAnsiTheme="minorEastAsia" w:eastAsiaTheme="minorEastAsia" w:cstheme="minorEastAsia"/>
              <w:sz w:val="21"/>
              <w:szCs w:val="22"/>
            </w:rPr>
            <w:t>响应文件的递交</w:t>
          </w:r>
          <w:r>
            <w:rPr>
              <w:sz w:val="21"/>
              <w:szCs w:val="21"/>
            </w:rPr>
            <w:tab/>
          </w:r>
          <w:r>
            <w:rPr>
              <w:sz w:val="21"/>
              <w:szCs w:val="21"/>
            </w:rPr>
            <w:fldChar w:fldCharType="begin"/>
          </w:r>
          <w:r>
            <w:rPr>
              <w:sz w:val="21"/>
              <w:szCs w:val="21"/>
            </w:rPr>
            <w:instrText xml:space="preserve"> PAGEREF _Toc10579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"_Toc18118"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19、 </w:t>
          </w:r>
          <w:r>
            <w:rPr>
              <w:rFonts w:hint="eastAsia" w:asciiTheme="minorEastAsia" w:hAnsiTheme="minorEastAsia" w:eastAsiaTheme="minorEastAsia" w:cstheme="minorEastAsia"/>
              <w:sz w:val="21"/>
              <w:szCs w:val="22"/>
            </w:rPr>
            <w:t>响应文件</w:t>
          </w:r>
          <w:r>
            <w:rPr>
              <w:rFonts w:hint="eastAsia" w:asciiTheme="minorEastAsia" w:hAnsiTheme="minorEastAsia" w:eastAsiaTheme="minorEastAsia" w:cstheme="minorEastAsia"/>
              <w:snapToGrid w:val="0"/>
              <w:sz w:val="21"/>
              <w:szCs w:val="22"/>
              <w:lang w:val="zh-CN"/>
            </w:rPr>
            <w:t>的密封和标记</w:t>
          </w:r>
          <w:r>
            <w:rPr>
              <w:sz w:val="21"/>
              <w:szCs w:val="21"/>
            </w:rPr>
            <w:tab/>
          </w:r>
          <w:r>
            <w:rPr>
              <w:sz w:val="21"/>
              <w:szCs w:val="21"/>
            </w:rPr>
            <w:fldChar w:fldCharType="begin"/>
          </w:r>
          <w:r>
            <w:rPr>
              <w:sz w:val="21"/>
              <w:szCs w:val="21"/>
            </w:rPr>
            <w:instrText xml:space="preserve"> PAGEREF _Toc18118 \h </w:instrText>
          </w:r>
          <w:r>
            <w:rPr>
              <w:sz w:val="21"/>
              <w:szCs w:val="21"/>
            </w:rPr>
            <w:fldChar w:fldCharType="separate"/>
          </w:r>
          <w:r>
            <w:rPr>
              <w:sz w:val="21"/>
              <w:szCs w:val="21"/>
            </w:rPr>
            <w:t>18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"_Toc15869"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20、 </w:t>
          </w:r>
          <w:r>
            <w:rPr>
              <w:rFonts w:hint="eastAsia" w:asciiTheme="minorEastAsia" w:hAnsiTheme="minorEastAsia" w:eastAsiaTheme="minorEastAsia" w:cstheme="minorEastAsia"/>
              <w:snapToGrid w:val="0"/>
              <w:sz w:val="21"/>
              <w:szCs w:val="22"/>
              <w:lang w:val="zh-CN"/>
            </w:rPr>
            <w:t>响应文件的送达地点及截止时间</w:t>
          </w:r>
          <w:r>
            <w:rPr>
              <w:sz w:val="21"/>
              <w:szCs w:val="21"/>
            </w:rPr>
            <w:tab/>
          </w:r>
          <w:r>
            <w:rPr>
              <w:sz w:val="21"/>
              <w:szCs w:val="21"/>
            </w:rPr>
            <w:fldChar w:fldCharType="begin"/>
          </w:r>
          <w:r>
            <w:rPr>
              <w:sz w:val="21"/>
              <w:szCs w:val="21"/>
            </w:rPr>
            <w:instrText xml:space="preserve"> PAGEREF _Toc15869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"_Toc26067"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21、 </w:t>
          </w:r>
          <w:r>
            <w:rPr>
              <w:rFonts w:hint="eastAsia" w:asciiTheme="minorEastAsia" w:hAnsiTheme="minorEastAsia" w:eastAsiaTheme="minorEastAsia" w:cstheme="minorEastAsia"/>
              <w:snapToGrid w:val="0"/>
              <w:sz w:val="21"/>
              <w:szCs w:val="22"/>
              <w:lang w:val="zh-CN"/>
            </w:rPr>
            <w:t>迟交的响应文件</w:t>
          </w:r>
          <w:r>
            <w:rPr>
              <w:sz w:val="21"/>
              <w:szCs w:val="21"/>
            </w:rPr>
            <w:tab/>
          </w:r>
          <w:r>
            <w:rPr>
              <w:sz w:val="21"/>
              <w:szCs w:val="21"/>
            </w:rPr>
            <w:fldChar w:fldCharType="begin"/>
          </w:r>
          <w:r>
            <w:rPr>
              <w:sz w:val="21"/>
              <w:szCs w:val="21"/>
            </w:rPr>
            <w:instrText xml:space="preserve"> PAGEREF _Toc26067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"_Toc4430"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22、 </w:t>
          </w:r>
          <w:r>
            <w:rPr>
              <w:rFonts w:hint="eastAsia" w:asciiTheme="minorEastAsia" w:hAnsiTheme="minorEastAsia" w:eastAsiaTheme="minorEastAsia" w:cstheme="minorEastAsia"/>
              <w:snapToGrid w:val="0"/>
              <w:sz w:val="21"/>
              <w:szCs w:val="22"/>
              <w:lang w:val="zh-CN"/>
            </w:rPr>
            <w:t>响应文件的补充、修改或者撤回</w:t>
          </w:r>
          <w:r>
            <w:rPr>
              <w:sz w:val="21"/>
              <w:szCs w:val="21"/>
            </w:rPr>
            <w:tab/>
          </w:r>
          <w:r>
            <w:rPr>
              <w:sz w:val="21"/>
              <w:szCs w:val="21"/>
            </w:rPr>
            <w:fldChar w:fldCharType="begin"/>
          </w:r>
          <w:r>
            <w:rPr>
              <w:sz w:val="21"/>
              <w:szCs w:val="21"/>
            </w:rPr>
            <w:instrText xml:space="preserve"> PAGEREF _Toc4430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"_Toc920" </w:instrText>
          </w:r>
          <w:r>
            <w:rPr>
              <w:sz w:val="21"/>
              <w:szCs w:val="21"/>
            </w:rPr>
            <w:fldChar w:fldCharType="separate"/>
          </w:r>
          <w:r>
            <w:rPr>
              <w:rFonts w:asciiTheme="minorEastAsia" w:hAnsiTheme="minorEastAsia" w:eastAsiaTheme="minorEastAsia" w:cstheme="minorEastAsia"/>
              <w:sz w:val="21"/>
              <w:szCs w:val="22"/>
            </w:rPr>
            <w:t xml:space="preserve">五、 </w:t>
          </w:r>
          <w:r>
            <w:rPr>
              <w:rFonts w:hint="eastAsia" w:asciiTheme="minorEastAsia" w:hAnsiTheme="minorEastAsia" w:eastAsiaTheme="minorEastAsia" w:cstheme="minorEastAsia"/>
              <w:sz w:val="21"/>
              <w:szCs w:val="22"/>
            </w:rPr>
            <w:t>磋商程序</w:t>
          </w:r>
          <w:r>
            <w:rPr>
              <w:sz w:val="21"/>
              <w:szCs w:val="21"/>
            </w:rPr>
            <w:tab/>
          </w:r>
          <w:r>
            <w:rPr>
              <w:sz w:val="21"/>
              <w:szCs w:val="21"/>
            </w:rPr>
            <w:fldChar w:fldCharType="begin"/>
          </w:r>
          <w:r>
            <w:rPr>
              <w:sz w:val="21"/>
              <w:szCs w:val="21"/>
            </w:rPr>
            <w:instrText xml:space="preserve"> PAGEREF _Toc920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"_Toc30068"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23、 </w:t>
          </w:r>
          <w:r>
            <w:rPr>
              <w:rFonts w:hint="eastAsia" w:asciiTheme="minorEastAsia" w:hAnsiTheme="minorEastAsia" w:eastAsiaTheme="minorEastAsia" w:cstheme="minorEastAsia"/>
              <w:sz w:val="21"/>
              <w:szCs w:val="22"/>
            </w:rPr>
            <w:t>磋商小组</w:t>
          </w:r>
          <w:r>
            <w:rPr>
              <w:sz w:val="21"/>
              <w:szCs w:val="21"/>
            </w:rPr>
            <w:tab/>
          </w:r>
          <w:r>
            <w:rPr>
              <w:sz w:val="21"/>
              <w:szCs w:val="21"/>
            </w:rPr>
            <w:fldChar w:fldCharType="begin"/>
          </w:r>
          <w:r>
            <w:rPr>
              <w:sz w:val="21"/>
              <w:szCs w:val="21"/>
            </w:rPr>
            <w:instrText xml:space="preserve"> PAGEREF _Toc30068 \h </w:instrText>
          </w:r>
          <w:r>
            <w:rPr>
              <w:sz w:val="21"/>
              <w:szCs w:val="21"/>
            </w:rPr>
            <w:fldChar w:fldCharType="separate"/>
          </w:r>
          <w:r>
            <w:rPr>
              <w:sz w:val="21"/>
              <w:szCs w:val="21"/>
            </w:rPr>
            <w:t>19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"_Toc4326" </w:instrText>
          </w:r>
          <w:r>
            <w:rPr>
              <w:sz w:val="21"/>
              <w:szCs w:val="21"/>
            </w:rPr>
            <w:fldChar w:fldCharType="separate"/>
          </w:r>
          <w:r>
            <w:rPr>
              <w:rFonts w:asciiTheme="minorEastAsia" w:hAnsiTheme="minorEastAsia" w:eastAsiaTheme="minorEastAsia" w:cstheme="minorEastAsia"/>
              <w:snapToGrid w:val="0"/>
              <w:sz w:val="21"/>
              <w:szCs w:val="22"/>
              <w:lang w:val="zh-CN"/>
            </w:rPr>
            <w:t xml:space="preserve">24、 </w:t>
          </w:r>
          <w:r>
            <w:rPr>
              <w:rFonts w:hint="eastAsia" w:asciiTheme="minorEastAsia" w:hAnsiTheme="minorEastAsia" w:eastAsiaTheme="minorEastAsia" w:cstheme="minorEastAsia"/>
              <w:sz w:val="21"/>
              <w:szCs w:val="22"/>
            </w:rPr>
            <w:t>磋商代表</w:t>
          </w:r>
          <w:r>
            <w:rPr>
              <w:sz w:val="21"/>
              <w:szCs w:val="21"/>
            </w:rPr>
            <w:tab/>
          </w:r>
          <w:r>
            <w:rPr>
              <w:sz w:val="21"/>
              <w:szCs w:val="21"/>
            </w:rPr>
            <w:fldChar w:fldCharType="begin"/>
          </w:r>
          <w:r>
            <w:rPr>
              <w:sz w:val="21"/>
              <w:szCs w:val="21"/>
            </w:rPr>
            <w:instrText xml:space="preserve"> PAGEREF _Toc4326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"_Toc18928" </w:instrText>
          </w:r>
          <w:r>
            <w:rPr>
              <w:sz w:val="21"/>
              <w:szCs w:val="21"/>
            </w:rPr>
            <w:fldChar w:fldCharType="separate"/>
          </w:r>
          <w:r>
            <w:rPr>
              <w:rFonts w:asciiTheme="minorEastAsia" w:hAnsiTheme="minorEastAsia" w:eastAsiaTheme="minorEastAsia" w:cstheme="minorEastAsia"/>
              <w:sz w:val="21"/>
              <w:szCs w:val="22"/>
            </w:rPr>
            <w:t xml:space="preserve">25、 </w:t>
          </w:r>
          <w:r>
            <w:rPr>
              <w:rFonts w:hint="eastAsia" w:asciiTheme="minorEastAsia" w:hAnsiTheme="minorEastAsia" w:eastAsiaTheme="minorEastAsia" w:cstheme="minorEastAsia"/>
              <w:sz w:val="21"/>
              <w:szCs w:val="22"/>
            </w:rPr>
            <w:t>资格审查和符合性审查</w:t>
          </w:r>
          <w:r>
            <w:rPr>
              <w:sz w:val="21"/>
              <w:szCs w:val="21"/>
            </w:rPr>
            <w:tab/>
          </w:r>
          <w:r>
            <w:rPr>
              <w:sz w:val="21"/>
              <w:szCs w:val="21"/>
            </w:rPr>
            <w:fldChar w:fldCharType="begin"/>
          </w:r>
          <w:r>
            <w:rPr>
              <w:sz w:val="21"/>
              <w:szCs w:val="21"/>
            </w:rPr>
            <w:instrText xml:space="preserve"> PAGEREF _Toc18928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"_Toc8543" </w:instrText>
          </w:r>
          <w:r>
            <w:rPr>
              <w:sz w:val="21"/>
              <w:szCs w:val="21"/>
            </w:rPr>
            <w:fldChar w:fldCharType="separate"/>
          </w:r>
          <w:r>
            <w:rPr>
              <w:rFonts w:asciiTheme="minorEastAsia" w:hAnsiTheme="minorEastAsia" w:eastAsiaTheme="minorEastAsia" w:cstheme="minorEastAsia"/>
              <w:sz w:val="21"/>
              <w:szCs w:val="22"/>
            </w:rPr>
            <w:t xml:space="preserve">26、 </w:t>
          </w:r>
          <w:r>
            <w:rPr>
              <w:rFonts w:hint="eastAsia" w:asciiTheme="minorEastAsia" w:hAnsiTheme="minorEastAsia" w:eastAsiaTheme="minorEastAsia" w:cstheme="minorEastAsia"/>
              <w:sz w:val="21"/>
              <w:szCs w:val="22"/>
            </w:rPr>
            <w:t>磋商</w:t>
          </w:r>
          <w:r>
            <w:rPr>
              <w:sz w:val="21"/>
              <w:szCs w:val="21"/>
            </w:rPr>
            <w:tab/>
          </w:r>
          <w:r>
            <w:rPr>
              <w:sz w:val="21"/>
              <w:szCs w:val="21"/>
            </w:rPr>
            <w:fldChar w:fldCharType="begin"/>
          </w:r>
          <w:r>
            <w:rPr>
              <w:sz w:val="21"/>
              <w:szCs w:val="21"/>
            </w:rPr>
            <w:instrText xml:space="preserve"> PAGEREF _Toc8543 \h </w:instrText>
          </w:r>
          <w:r>
            <w:rPr>
              <w:sz w:val="21"/>
              <w:szCs w:val="21"/>
            </w:rPr>
            <w:fldChar w:fldCharType="separate"/>
          </w:r>
          <w:r>
            <w:rPr>
              <w:sz w:val="21"/>
              <w:szCs w:val="21"/>
            </w:rPr>
            <w:t>20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"_Toc25949" </w:instrText>
          </w:r>
          <w:r>
            <w:rPr>
              <w:sz w:val="21"/>
              <w:szCs w:val="21"/>
            </w:rPr>
            <w:fldChar w:fldCharType="separate"/>
          </w:r>
          <w:r>
            <w:rPr>
              <w:rFonts w:asciiTheme="minorEastAsia" w:hAnsiTheme="minorEastAsia" w:eastAsiaTheme="minorEastAsia" w:cstheme="minorEastAsia"/>
              <w:sz w:val="21"/>
              <w:szCs w:val="22"/>
            </w:rPr>
            <w:t xml:space="preserve">27、 </w:t>
          </w:r>
          <w:r>
            <w:rPr>
              <w:rFonts w:hint="eastAsia" w:asciiTheme="minorEastAsia" w:hAnsiTheme="minorEastAsia" w:eastAsiaTheme="minorEastAsia" w:cstheme="minorEastAsia"/>
              <w:sz w:val="21"/>
              <w:szCs w:val="22"/>
            </w:rPr>
            <w:t>推荐成交候选供应商</w:t>
          </w:r>
          <w:r>
            <w:rPr>
              <w:sz w:val="21"/>
              <w:szCs w:val="21"/>
            </w:rPr>
            <w:tab/>
          </w:r>
          <w:r>
            <w:rPr>
              <w:sz w:val="21"/>
              <w:szCs w:val="21"/>
            </w:rPr>
            <w:fldChar w:fldCharType="begin"/>
          </w:r>
          <w:r>
            <w:rPr>
              <w:sz w:val="21"/>
              <w:szCs w:val="21"/>
            </w:rPr>
            <w:instrText xml:space="preserve"> PAGEREF _Toc25949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"_Toc1198" </w:instrText>
          </w:r>
          <w:r>
            <w:rPr>
              <w:sz w:val="21"/>
              <w:szCs w:val="21"/>
            </w:rPr>
            <w:fldChar w:fldCharType="separate"/>
          </w:r>
          <w:r>
            <w:rPr>
              <w:rFonts w:asciiTheme="minorEastAsia" w:hAnsiTheme="minorEastAsia" w:eastAsiaTheme="minorEastAsia" w:cstheme="minorEastAsia"/>
              <w:sz w:val="21"/>
              <w:szCs w:val="22"/>
            </w:rPr>
            <w:t xml:space="preserve">六、 </w:t>
          </w:r>
          <w:r>
            <w:rPr>
              <w:rFonts w:hint="eastAsia" w:asciiTheme="minorEastAsia" w:hAnsiTheme="minorEastAsia" w:eastAsiaTheme="minorEastAsia" w:cstheme="minorEastAsia"/>
              <w:sz w:val="21"/>
              <w:szCs w:val="22"/>
            </w:rPr>
            <w:t>成交与签订合同</w:t>
          </w:r>
          <w:r>
            <w:rPr>
              <w:sz w:val="21"/>
              <w:szCs w:val="21"/>
            </w:rPr>
            <w:tab/>
          </w:r>
          <w:r>
            <w:rPr>
              <w:sz w:val="21"/>
              <w:szCs w:val="21"/>
            </w:rPr>
            <w:fldChar w:fldCharType="begin"/>
          </w:r>
          <w:r>
            <w:rPr>
              <w:sz w:val="21"/>
              <w:szCs w:val="21"/>
            </w:rPr>
            <w:instrText xml:space="preserve"> PAGEREF _Toc1198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"_Toc17999" </w:instrText>
          </w:r>
          <w:r>
            <w:rPr>
              <w:sz w:val="21"/>
              <w:szCs w:val="21"/>
            </w:rPr>
            <w:fldChar w:fldCharType="separate"/>
          </w:r>
          <w:r>
            <w:rPr>
              <w:rFonts w:asciiTheme="minorEastAsia" w:hAnsiTheme="minorEastAsia" w:eastAsiaTheme="minorEastAsia" w:cstheme="minorEastAsia"/>
              <w:sz w:val="21"/>
              <w:szCs w:val="22"/>
            </w:rPr>
            <w:t xml:space="preserve">28、 </w:t>
          </w:r>
          <w:r>
            <w:rPr>
              <w:rFonts w:hint="eastAsia" w:asciiTheme="minorEastAsia" w:hAnsiTheme="minorEastAsia" w:eastAsiaTheme="minorEastAsia" w:cstheme="minorEastAsia"/>
              <w:sz w:val="21"/>
              <w:szCs w:val="22"/>
            </w:rPr>
            <w:t>确定成交供应商</w:t>
          </w:r>
          <w:r>
            <w:rPr>
              <w:sz w:val="21"/>
              <w:szCs w:val="21"/>
            </w:rPr>
            <w:tab/>
          </w:r>
          <w:r>
            <w:rPr>
              <w:sz w:val="21"/>
              <w:szCs w:val="21"/>
            </w:rPr>
            <w:fldChar w:fldCharType="begin"/>
          </w:r>
          <w:r>
            <w:rPr>
              <w:sz w:val="21"/>
              <w:szCs w:val="21"/>
            </w:rPr>
            <w:instrText xml:space="preserve"> PAGEREF _Toc17999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"_Toc15969" </w:instrText>
          </w:r>
          <w:r>
            <w:rPr>
              <w:sz w:val="21"/>
              <w:szCs w:val="21"/>
            </w:rPr>
            <w:fldChar w:fldCharType="separate"/>
          </w:r>
          <w:r>
            <w:rPr>
              <w:rFonts w:asciiTheme="minorEastAsia" w:hAnsiTheme="minorEastAsia" w:eastAsiaTheme="minorEastAsia" w:cstheme="minorEastAsia"/>
              <w:sz w:val="21"/>
              <w:szCs w:val="22"/>
            </w:rPr>
            <w:t xml:space="preserve">29、 </w:t>
          </w:r>
          <w:r>
            <w:rPr>
              <w:rFonts w:hint="eastAsia" w:asciiTheme="minorEastAsia" w:hAnsiTheme="minorEastAsia" w:eastAsiaTheme="minorEastAsia" w:cstheme="minorEastAsia"/>
              <w:sz w:val="21"/>
              <w:szCs w:val="22"/>
            </w:rPr>
            <w:t>签订合同</w:t>
          </w:r>
          <w:r>
            <w:rPr>
              <w:sz w:val="21"/>
              <w:szCs w:val="21"/>
            </w:rPr>
            <w:tab/>
          </w:r>
          <w:r>
            <w:rPr>
              <w:sz w:val="21"/>
              <w:szCs w:val="21"/>
            </w:rPr>
            <w:fldChar w:fldCharType="begin"/>
          </w:r>
          <w:r>
            <w:rPr>
              <w:sz w:val="21"/>
              <w:szCs w:val="21"/>
            </w:rPr>
            <w:instrText xml:space="preserve"> PAGEREF _Toc15969 \h </w:instrText>
          </w:r>
          <w:r>
            <w:rPr>
              <w:sz w:val="21"/>
              <w:szCs w:val="21"/>
            </w:rPr>
            <w:fldChar w:fldCharType="separate"/>
          </w:r>
          <w:r>
            <w:rPr>
              <w:sz w:val="21"/>
              <w:szCs w:val="21"/>
            </w:rPr>
            <w:t>21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"_Toc3127" </w:instrText>
          </w:r>
          <w:r>
            <w:rPr>
              <w:sz w:val="21"/>
              <w:szCs w:val="21"/>
            </w:rPr>
            <w:fldChar w:fldCharType="separate"/>
          </w:r>
          <w:r>
            <w:rPr>
              <w:rFonts w:hint="eastAsia" w:asciiTheme="minorEastAsia" w:hAnsiTheme="minorEastAsia" w:eastAsiaTheme="minorEastAsia" w:cstheme="minorEastAsia"/>
              <w:snapToGrid w:val="0"/>
              <w:sz w:val="21"/>
              <w:szCs w:val="22"/>
              <w:lang w:val="zh-CN"/>
            </w:rPr>
            <w:t>七、质疑和投诉</w:t>
          </w:r>
          <w:r>
            <w:rPr>
              <w:sz w:val="21"/>
              <w:szCs w:val="21"/>
            </w:rPr>
            <w:tab/>
          </w:r>
          <w:r>
            <w:rPr>
              <w:sz w:val="21"/>
              <w:szCs w:val="21"/>
            </w:rPr>
            <w:fldChar w:fldCharType="begin"/>
          </w:r>
          <w:r>
            <w:rPr>
              <w:sz w:val="21"/>
              <w:szCs w:val="21"/>
            </w:rPr>
            <w:instrText xml:space="preserve"> PAGEREF _Toc3127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"_Toc31167" </w:instrText>
          </w:r>
          <w:r>
            <w:rPr>
              <w:sz w:val="21"/>
              <w:szCs w:val="21"/>
            </w:rPr>
            <w:fldChar w:fldCharType="separate"/>
          </w:r>
          <w:r>
            <w:rPr>
              <w:rFonts w:asciiTheme="minorEastAsia" w:hAnsiTheme="minorEastAsia" w:eastAsiaTheme="minorEastAsia" w:cstheme="minorEastAsia"/>
              <w:sz w:val="21"/>
              <w:szCs w:val="22"/>
            </w:rPr>
            <w:t xml:space="preserve">30、 </w:t>
          </w:r>
          <w:r>
            <w:rPr>
              <w:rFonts w:hint="eastAsia" w:asciiTheme="minorEastAsia" w:hAnsiTheme="minorEastAsia" w:eastAsiaTheme="minorEastAsia" w:cstheme="minorEastAsia"/>
              <w:sz w:val="21"/>
              <w:szCs w:val="22"/>
            </w:rPr>
            <w:t>质疑</w:t>
          </w:r>
          <w:r>
            <w:rPr>
              <w:sz w:val="21"/>
              <w:szCs w:val="21"/>
            </w:rPr>
            <w:tab/>
          </w:r>
          <w:r>
            <w:rPr>
              <w:sz w:val="21"/>
              <w:szCs w:val="21"/>
            </w:rPr>
            <w:fldChar w:fldCharType="begin"/>
          </w:r>
          <w:r>
            <w:rPr>
              <w:sz w:val="21"/>
              <w:szCs w:val="21"/>
            </w:rPr>
            <w:instrText xml:space="preserve"> PAGEREF _Toc31167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"_Toc121" </w:instrText>
          </w:r>
          <w:r>
            <w:rPr>
              <w:sz w:val="21"/>
              <w:szCs w:val="21"/>
            </w:rPr>
            <w:fldChar w:fldCharType="separate"/>
          </w:r>
          <w:r>
            <w:rPr>
              <w:rFonts w:asciiTheme="minorEastAsia" w:hAnsiTheme="minorEastAsia" w:eastAsiaTheme="minorEastAsia" w:cstheme="minorEastAsia"/>
              <w:sz w:val="21"/>
              <w:szCs w:val="22"/>
            </w:rPr>
            <w:t xml:space="preserve">31、 </w:t>
          </w:r>
          <w:r>
            <w:rPr>
              <w:rFonts w:hint="eastAsia" w:asciiTheme="minorEastAsia" w:hAnsiTheme="minorEastAsia" w:eastAsiaTheme="minorEastAsia" w:cstheme="minorEastAsia"/>
              <w:sz w:val="21"/>
              <w:szCs w:val="22"/>
            </w:rPr>
            <w:t>质疑回复</w:t>
          </w:r>
          <w:r>
            <w:rPr>
              <w:sz w:val="21"/>
              <w:szCs w:val="21"/>
            </w:rPr>
            <w:tab/>
          </w:r>
          <w:r>
            <w:rPr>
              <w:sz w:val="21"/>
              <w:szCs w:val="21"/>
            </w:rPr>
            <w:fldChar w:fldCharType="begin"/>
          </w:r>
          <w:r>
            <w:rPr>
              <w:sz w:val="21"/>
              <w:szCs w:val="21"/>
            </w:rPr>
            <w:instrText xml:space="preserve"> PAGEREF _Toc121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"_Toc16650" </w:instrText>
          </w:r>
          <w:r>
            <w:rPr>
              <w:sz w:val="21"/>
              <w:szCs w:val="21"/>
            </w:rPr>
            <w:fldChar w:fldCharType="separate"/>
          </w:r>
          <w:r>
            <w:rPr>
              <w:rFonts w:asciiTheme="minorEastAsia" w:hAnsiTheme="minorEastAsia" w:eastAsiaTheme="minorEastAsia" w:cstheme="minorEastAsia"/>
              <w:sz w:val="21"/>
              <w:szCs w:val="22"/>
            </w:rPr>
            <w:t xml:space="preserve">32、 </w:t>
          </w:r>
          <w:r>
            <w:rPr>
              <w:rFonts w:hint="eastAsia" w:asciiTheme="minorEastAsia" w:hAnsiTheme="minorEastAsia" w:eastAsiaTheme="minorEastAsia" w:cstheme="minorEastAsia"/>
              <w:sz w:val="21"/>
              <w:szCs w:val="22"/>
            </w:rPr>
            <w:t>投诉</w:t>
          </w:r>
          <w:r>
            <w:rPr>
              <w:sz w:val="21"/>
              <w:szCs w:val="21"/>
            </w:rPr>
            <w:tab/>
          </w:r>
          <w:r>
            <w:rPr>
              <w:sz w:val="21"/>
              <w:szCs w:val="21"/>
            </w:rPr>
            <w:fldChar w:fldCharType="begin"/>
          </w:r>
          <w:r>
            <w:rPr>
              <w:sz w:val="21"/>
              <w:szCs w:val="21"/>
            </w:rPr>
            <w:instrText xml:space="preserve"> PAGEREF _Toc16650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"_Toc3127"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八、</w:t>
          </w:r>
          <w:r>
            <w:rPr>
              <w:rFonts w:hint="eastAsia" w:asciiTheme="minorEastAsia" w:hAnsiTheme="minorEastAsia" w:eastAsiaTheme="minorEastAsia" w:cstheme="minorEastAsia"/>
              <w:snapToGrid w:val="0"/>
              <w:sz w:val="21"/>
              <w:szCs w:val="22"/>
              <w:lang w:val="en-US" w:eastAsia="zh-CN"/>
            </w:rPr>
            <w:t>政府采购政策</w:t>
          </w:r>
          <w:r>
            <w:rPr>
              <w:sz w:val="21"/>
              <w:szCs w:val="21"/>
            </w:rPr>
            <w:tab/>
          </w:r>
          <w:r>
            <w:rPr>
              <w:sz w:val="21"/>
              <w:szCs w:val="21"/>
            </w:rPr>
            <w:fldChar w:fldCharType="begin"/>
          </w:r>
          <w:r>
            <w:rPr>
              <w:sz w:val="21"/>
              <w:szCs w:val="21"/>
            </w:rPr>
            <w:instrText xml:space="preserve"> PAGEREF _Toc3127 \h </w:instrText>
          </w:r>
          <w:r>
            <w:rPr>
              <w:sz w:val="21"/>
              <w:szCs w:val="21"/>
            </w:rPr>
            <w:fldChar w:fldCharType="separate"/>
          </w:r>
          <w:r>
            <w:rPr>
              <w:sz w:val="21"/>
              <w:szCs w:val="21"/>
            </w:rPr>
            <w:t>22</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"_Toc30990" </w:instrText>
          </w:r>
          <w:r>
            <w:rPr>
              <w:sz w:val="21"/>
              <w:szCs w:val="21"/>
            </w:rPr>
            <w:fldChar w:fldCharType="separate"/>
          </w:r>
          <w:r>
            <w:rPr>
              <w:rFonts w:hint="eastAsia" w:asciiTheme="minorEastAsia" w:hAnsiTheme="minorEastAsia" w:eastAsiaTheme="minorEastAsia" w:cstheme="minorEastAsia"/>
              <w:snapToGrid w:val="0"/>
              <w:sz w:val="21"/>
              <w:szCs w:val="22"/>
            </w:rPr>
            <w:t>33</w:t>
          </w:r>
          <w:r>
            <w:rPr>
              <w:rFonts w:hint="eastAsia" w:asciiTheme="minorEastAsia" w:hAnsiTheme="minorEastAsia" w:eastAsiaTheme="minorEastAsia" w:cstheme="minorEastAsia"/>
              <w:snapToGrid w:val="0"/>
              <w:sz w:val="21"/>
              <w:szCs w:val="22"/>
              <w:lang w:val="zh-CN"/>
            </w:rPr>
            <w:t>、政府采购政策（如适用）</w:t>
          </w:r>
          <w:r>
            <w:rPr>
              <w:sz w:val="21"/>
              <w:szCs w:val="21"/>
            </w:rPr>
            <w:tab/>
          </w:r>
          <w:r>
            <w:rPr>
              <w:sz w:val="21"/>
              <w:szCs w:val="21"/>
            </w:rPr>
            <w:fldChar w:fldCharType="begin"/>
          </w:r>
          <w:r>
            <w:rPr>
              <w:sz w:val="21"/>
              <w:szCs w:val="21"/>
            </w:rPr>
            <w:instrText xml:space="preserve"> PAGEREF _Toc30990 \h </w:instrText>
          </w:r>
          <w:r>
            <w:rPr>
              <w:sz w:val="21"/>
              <w:szCs w:val="21"/>
            </w:rPr>
            <w:fldChar w:fldCharType="separate"/>
          </w:r>
          <w:r>
            <w:rPr>
              <w:sz w:val="21"/>
              <w:szCs w:val="21"/>
            </w:rPr>
            <w:t>23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"_Toc15370" </w:instrText>
          </w:r>
          <w:r>
            <w:rPr>
              <w:sz w:val="21"/>
              <w:szCs w:val="21"/>
            </w:rPr>
            <w:fldChar w:fldCharType="separate"/>
          </w:r>
          <w:r>
            <w:rPr>
              <w:rFonts w:hint="eastAsia" w:asciiTheme="minorEastAsia" w:hAnsiTheme="minorEastAsia" w:eastAsiaTheme="minorEastAsia" w:cstheme="minorEastAsia"/>
              <w:snapToGrid w:val="0"/>
              <w:sz w:val="21"/>
              <w:szCs w:val="22"/>
              <w:lang w:val="zh-CN"/>
            </w:rPr>
            <w:t>九、其他要求</w:t>
          </w:r>
          <w:r>
            <w:rPr>
              <w:sz w:val="21"/>
              <w:szCs w:val="21"/>
            </w:rPr>
            <w:tab/>
          </w:r>
          <w:r>
            <w:rPr>
              <w:sz w:val="21"/>
              <w:szCs w:val="21"/>
            </w:rPr>
            <w:fldChar w:fldCharType="begin"/>
          </w:r>
          <w:r>
            <w:rPr>
              <w:sz w:val="21"/>
              <w:szCs w:val="21"/>
            </w:rPr>
            <w:instrText xml:space="preserve"> PAGEREF _Toc15370 \h </w:instrText>
          </w:r>
          <w:r>
            <w:rPr>
              <w:sz w:val="21"/>
              <w:szCs w:val="21"/>
            </w:rPr>
            <w:fldChar w:fldCharType="separate"/>
          </w:r>
          <w:r>
            <w:rPr>
              <w:sz w:val="21"/>
              <w:szCs w:val="21"/>
            </w:rPr>
            <w:t>24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"_Toc26991"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十、适用法律</w:t>
          </w:r>
          <w:r>
            <w:rPr>
              <w:sz w:val="21"/>
              <w:szCs w:val="21"/>
            </w:rPr>
            <w:tab/>
          </w:r>
          <w:r>
            <w:rPr>
              <w:sz w:val="21"/>
              <w:szCs w:val="21"/>
            </w:rPr>
            <w:fldChar w:fldCharType="begin"/>
          </w:r>
          <w:r>
            <w:rPr>
              <w:sz w:val="21"/>
              <w:szCs w:val="21"/>
            </w:rPr>
            <w:instrText xml:space="preserve"> PAGEREF _Toc26991 \h </w:instrText>
          </w:r>
          <w:r>
            <w:rPr>
              <w:sz w:val="21"/>
              <w:szCs w:val="21"/>
            </w:rPr>
            <w:fldChar w:fldCharType="separate"/>
          </w:r>
          <w:r>
            <w:rPr>
              <w:sz w:val="21"/>
              <w:szCs w:val="21"/>
            </w:rPr>
            <w:t>25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"_Toc6113" </w:instrText>
          </w:r>
          <w:r>
            <w:rPr>
              <w:sz w:val="21"/>
              <w:szCs w:val="21"/>
            </w:rPr>
            <w:fldChar w:fldCharType="separate"/>
          </w:r>
          <w:r>
            <w:rPr>
              <w:rFonts w:hint="eastAsia" w:asciiTheme="minorEastAsia" w:hAnsiTheme="minorEastAsia" w:eastAsiaTheme="minorEastAsia" w:cstheme="minorEastAsia"/>
              <w:snapToGrid w:val="0"/>
              <w:sz w:val="21"/>
              <w:szCs w:val="22"/>
              <w:lang w:val="zh-CN"/>
            </w:rPr>
            <w:t>十一、无效投标和废标</w:t>
          </w:r>
          <w:r>
            <w:rPr>
              <w:sz w:val="21"/>
              <w:szCs w:val="21"/>
            </w:rPr>
            <w:tab/>
          </w:r>
          <w:r>
            <w:rPr>
              <w:sz w:val="21"/>
              <w:szCs w:val="21"/>
            </w:rPr>
            <w:fldChar w:fldCharType="begin"/>
          </w:r>
          <w:r>
            <w:rPr>
              <w:sz w:val="21"/>
              <w:szCs w:val="21"/>
            </w:rPr>
            <w:instrText xml:space="preserve"> PAGEREF _Toc6113 \h </w:instrText>
          </w:r>
          <w:r>
            <w:rPr>
              <w:sz w:val="21"/>
              <w:szCs w:val="21"/>
            </w:rPr>
            <w:fldChar w:fldCharType="separate"/>
          </w:r>
          <w:r>
            <w:rPr>
              <w:sz w:val="21"/>
              <w:szCs w:val="21"/>
            </w:rPr>
            <w:t>25</w:t>
          </w:r>
          <w:r>
            <w:rPr>
              <w:sz w:val="21"/>
              <w:szCs w:val="21"/>
            </w:rPr>
            <w:fldChar w:fldCharType="end"/>
          </w:r>
          <w:r>
            <w:rPr>
              <w:sz w:val="21"/>
              <w:szCs w:val="21"/>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"_Toc23452"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第三章 采购内容及要求</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_Toc23452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26</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"_Toc11132"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第四章合同格式（仅供参考）</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_Toc11132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26</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"_Toc4841"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第五章 评审程序、方法及标准</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_Toc4841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35</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5"/>
            <w:tabs>
              <w:tab w:val="right" w:leader="dot" w:pos="8731"/>
            </w:tabs>
            <w:rPr>
              <w:sz w:val="21"/>
              <w:szCs w:val="21"/>
            </w:rPr>
          </w:pPr>
          <w:r>
            <w:rPr>
              <w:sz w:val="21"/>
              <w:szCs w:val="21"/>
            </w:rPr>
            <w:fldChar w:fldCharType="begin"/>
          </w:r>
          <w:r>
            <w:rPr>
              <w:sz w:val="21"/>
              <w:szCs w:val="21"/>
            </w:rPr>
            <w:instrText xml:space="preserve"> HYPERLINK \l "_Toc13077" </w:instrText>
          </w:r>
          <w:r>
            <w:rPr>
              <w:sz w:val="21"/>
              <w:szCs w:val="21"/>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第六章 响应文件的格式</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ab/>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begin"/>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instrText xml:space="preserve"> PAGEREF _Toc13077 \h </w:instrTex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separate"/>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t>41</w:t>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r>
            <w:rPr>
              <w:rFonts w:hint="eastAsia" w:asciiTheme="minorEastAsia" w:hAnsiTheme="minorEastAsia" w:eastAsiaTheme="minorEastAsia" w:cstheme="minorEastAsia"/>
              <w:b/>
              <w:bCs/>
              <w:color w:val="000000" w:themeColor="text1"/>
              <w:sz w:val="24"/>
              <w:szCs w:val="28"/>
              <w14:textFill>
                <w14:solidFill>
                  <w14:schemeClr w14:val="tx1"/>
                </w14:solidFill>
              </w14:textFill>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"_Toc24387" </w:instrText>
          </w:r>
          <w:r>
            <w:rPr>
              <w:sz w:val="21"/>
              <w:szCs w:val="21"/>
            </w:rPr>
            <w:fldChar w:fldCharType="separate"/>
          </w:r>
          <w:r>
            <w:rPr>
              <w:rFonts w:hint="eastAsia" w:ascii="宋体" w:hAnsi="宋体"/>
              <w:sz w:val="21"/>
              <w:szCs w:val="32"/>
            </w:rPr>
            <w:t>评审导航表</w:t>
          </w:r>
          <w:r>
            <w:rPr>
              <w:sz w:val="21"/>
              <w:szCs w:val="21"/>
            </w:rPr>
            <w:tab/>
          </w:r>
          <w:r>
            <w:rPr>
              <w:sz w:val="21"/>
              <w:szCs w:val="21"/>
            </w:rPr>
            <w:fldChar w:fldCharType="begin"/>
          </w:r>
          <w:r>
            <w:rPr>
              <w:sz w:val="21"/>
              <w:szCs w:val="21"/>
            </w:rPr>
            <w:instrText xml:space="preserve"> PAGEREF _Toc24387 \h </w:instrText>
          </w:r>
          <w:r>
            <w:rPr>
              <w:sz w:val="21"/>
              <w:szCs w:val="21"/>
            </w:rPr>
            <w:fldChar w:fldCharType="separate"/>
          </w:r>
          <w:r>
            <w:rPr>
              <w:sz w:val="21"/>
              <w:szCs w:val="21"/>
            </w:rPr>
            <w:t>47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"_Toc4077" </w:instrText>
          </w:r>
          <w:r>
            <w:rPr>
              <w:sz w:val="21"/>
              <w:szCs w:val="21"/>
            </w:rPr>
            <w:fldChar w:fldCharType="separate"/>
          </w:r>
          <w:r>
            <w:rPr>
              <w:rFonts w:hint="eastAsia"/>
              <w:sz w:val="21"/>
              <w:szCs w:val="21"/>
            </w:rPr>
            <w:t>一、封面及目录</w:t>
          </w:r>
          <w:r>
            <w:rPr>
              <w:sz w:val="21"/>
              <w:szCs w:val="21"/>
            </w:rPr>
            <w:tab/>
          </w:r>
          <w:r>
            <w:rPr>
              <w:sz w:val="21"/>
              <w:szCs w:val="21"/>
            </w:rPr>
            <w:fldChar w:fldCharType="begin"/>
          </w:r>
          <w:r>
            <w:rPr>
              <w:sz w:val="21"/>
              <w:szCs w:val="21"/>
            </w:rPr>
            <w:instrText xml:space="preserve"> PAGEREF _Toc4077 \h </w:instrText>
          </w:r>
          <w:r>
            <w:rPr>
              <w:sz w:val="21"/>
              <w:szCs w:val="21"/>
            </w:rPr>
            <w:fldChar w:fldCharType="separate"/>
          </w:r>
          <w:r>
            <w:rPr>
              <w:sz w:val="21"/>
              <w:szCs w:val="21"/>
            </w:rPr>
            <w:t>48</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"_Toc31854" </w:instrText>
          </w:r>
          <w:r>
            <w:rPr>
              <w:sz w:val="21"/>
              <w:szCs w:val="21"/>
            </w:rPr>
            <w:fldChar w:fldCharType="separate"/>
          </w:r>
          <w:r>
            <w:rPr>
              <w:rFonts w:hint="eastAsia"/>
              <w:sz w:val="21"/>
              <w:szCs w:val="21"/>
            </w:rPr>
            <w:t>二、磋商函及价格部分</w:t>
          </w:r>
          <w:r>
            <w:rPr>
              <w:sz w:val="21"/>
              <w:szCs w:val="21"/>
            </w:rPr>
            <w:tab/>
          </w:r>
          <w:r>
            <w:rPr>
              <w:sz w:val="21"/>
              <w:szCs w:val="21"/>
            </w:rPr>
            <w:fldChar w:fldCharType="begin"/>
          </w:r>
          <w:r>
            <w:rPr>
              <w:sz w:val="21"/>
              <w:szCs w:val="21"/>
            </w:rPr>
            <w:instrText xml:space="preserve"> PAGEREF _Toc31854 \h </w:instrText>
          </w:r>
          <w:r>
            <w:rPr>
              <w:sz w:val="21"/>
              <w:szCs w:val="21"/>
            </w:rPr>
            <w:fldChar w:fldCharType="separate"/>
          </w:r>
          <w:r>
            <w:rPr>
              <w:sz w:val="21"/>
              <w:szCs w:val="21"/>
            </w:rPr>
            <w:t>49</w:t>
          </w:r>
          <w:r>
            <w:rPr>
              <w:sz w:val="21"/>
              <w:szCs w:val="21"/>
            </w:rPr>
            <w:fldChar w:fldCharType="end"/>
          </w:r>
          <w:r>
            <w:rPr>
              <w:sz w:val="21"/>
              <w:szCs w:val="21"/>
            </w:rPr>
            <w:fldChar w:fldCharType="end"/>
          </w:r>
        </w:p>
        <w:p>
          <w:pPr>
            <w:pStyle w:val="172"/>
            <w:tabs>
              <w:tab w:val="right" w:leader="dot" w:pos="8731"/>
            </w:tabs>
            <w:ind w:left="0" w:leftChars="0" w:firstLine="420" w:firstLineChars="200"/>
            <w:rPr>
              <w:sz w:val="21"/>
              <w:szCs w:val="21"/>
            </w:rPr>
          </w:pPr>
          <w:r>
            <w:rPr>
              <w:sz w:val="21"/>
              <w:szCs w:val="21"/>
            </w:rPr>
            <w:fldChar w:fldCharType="begin"/>
          </w:r>
          <w:r>
            <w:rPr>
              <w:sz w:val="21"/>
              <w:szCs w:val="21"/>
            </w:rPr>
            <w:instrText xml:space="preserve"> HYPERLINK \l "_Toc3165" </w:instrText>
          </w:r>
          <w:r>
            <w:rPr>
              <w:sz w:val="21"/>
              <w:szCs w:val="21"/>
            </w:rPr>
            <w:fldChar w:fldCharType="separate"/>
          </w:r>
          <w:r>
            <w:rPr>
              <w:rFonts w:hint="eastAsia"/>
              <w:sz w:val="21"/>
              <w:szCs w:val="21"/>
            </w:rPr>
            <w:t>（一）磋商函</w:t>
          </w:r>
          <w:r>
            <w:rPr>
              <w:sz w:val="21"/>
              <w:szCs w:val="21"/>
            </w:rPr>
            <w:tab/>
          </w:r>
          <w:r>
            <w:rPr>
              <w:sz w:val="21"/>
              <w:szCs w:val="21"/>
            </w:rPr>
            <w:fldChar w:fldCharType="begin"/>
          </w:r>
          <w:r>
            <w:rPr>
              <w:sz w:val="21"/>
              <w:szCs w:val="21"/>
            </w:rPr>
            <w:instrText xml:space="preserve"> PAGEREF _Toc3165 \h </w:instrText>
          </w:r>
          <w:r>
            <w:rPr>
              <w:sz w:val="21"/>
              <w:szCs w:val="21"/>
            </w:rPr>
            <w:fldChar w:fldCharType="separate"/>
          </w:r>
          <w:r>
            <w:rPr>
              <w:sz w:val="21"/>
              <w:szCs w:val="21"/>
            </w:rPr>
            <w:t>49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"_Toc10602" </w:instrText>
          </w:r>
          <w:r>
            <w:rPr>
              <w:sz w:val="21"/>
              <w:szCs w:val="21"/>
            </w:rPr>
            <w:fldChar w:fldCharType="separate"/>
          </w:r>
          <w:r>
            <w:rPr>
              <w:rFonts w:hint="eastAsia" w:asciiTheme="minorEastAsia" w:hAnsiTheme="minorEastAsia" w:eastAsiaTheme="minorEastAsia" w:cstheme="minorEastAsia"/>
              <w:sz w:val="21"/>
              <w:szCs w:val="21"/>
            </w:rPr>
            <w:t>（二）</w:t>
          </w:r>
          <w:r>
            <w:rPr>
              <w:rFonts w:hint="eastAsia" w:asciiTheme="minorEastAsia" w:hAnsiTheme="minorEastAsia" w:eastAsiaTheme="minorEastAsia" w:cstheme="minorEastAsia"/>
              <w:sz w:val="21"/>
              <w:szCs w:val="21"/>
              <w:lang w:val="en-US" w:eastAsia="zh-CN"/>
            </w:rPr>
            <w:t>磋商函附录</w:t>
          </w:r>
          <w:r>
            <w:rPr>
              <w:sz w:val="21"/>
              <w:szCs w:val="21"/>
            </w:rPr>
            <w:tab/>
          </w:r>
          <w:r>
            <w:rPr>
              <w:sz w:val="21"/>
              <w:szCs w:val="21"/>
            </w:rPr>
            <w:fldChar w:fldCharType="begin"/>
          </w:r>
          <w:r>
            <w:rPr>
              <w:sz w:val="21"/>
              <w:szCs w:val="21"/>
            </w:rPr>
            <w:instrText xml:space="preserve"> PAGEREF _Toc10602 \h </w:instrText>
          </w:r>
          <w:r>
            <w:rPr>
              <w:sz w:val="21"/>
              <w:szCs w:val="21"/>
            </w:rPr>
            <w:fldChar w:fldCharType="separate"/>
          </w:r>
          <w:r>
            <w:rPr>
              <w:sz w:val="21"/>
              <w:szCs w:val="21"/>
            </w:rPr>
            <w:t>51</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"_Toc17441" </w:instrText>
          </w:r>
          <w:r>
            <w:rPr>
              <w:sz w:val="21"/>
              <w:szCs w:val="21"/>
            </w:rPr>
            <w:fldChar w:fldCharType="separate"/>
          </w:r>
          <w:r>
            <w:rPr>
              <w:rFonts w:hint="eastAsia" w:asciiTheme="minorEastAsia" w:hAnsiTheme="minorEastAsia" w:eastAsiaTheme="minorEastAsia" w:cstheme="minorEastAsia"/>
              <w:sz w:val="21"/>
              <w:szCs w:val="21"/>
            </w:rPr>
            <w:t>（三）投标分项报价表</w:t>
          </w:r>
          <w:r>
            <w:rPr>
              <w:sz w:val="21"/>
              <w:szCs w:val="21"/>
            </w:rPr>
            <w:tab/>
          </w:r>
          <w:r>
            <w:rPr>
              <w:sz w:val="21"/>
              <w:szCs w:val="21"/>
            </w:rPr>
            <w:fldChar w:fldCharType="begin"/>
          </w:r>
          <w:r>
            <w:rPr>
              <w:sz w:val="21"/>
              <w:szCs w:val="21"/>
            </w:rPr>
            <w:instrText xml:space="preserve"> PAGEREF _Toc17441 \h </w:instrText>
          </w:r>
          <w:r>
            <w:rPr>
              <w:sz w:val="21"/>
              <w:szCs w:val="21"/>
            </w:rPr>
            <w:fldChar w:fldCharType="separate"/>
          </w:r>
          <w:r>
            <w:rPr>
              <w:sz w:val="21"/>
              <w:szCs w:val="21"/>
            </w:rPr>
            <w:t>52</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"_Toc21780" </w:instrText>
          </w:r>
          <w:r>
            <w:rPr>
              <w:sz w:val="21"/>
              <w:szCs w:val="21"/>
            </w:rPr>
            <w:fldChar w:fldCharType="separate"/>
          </w:r>
          <w:r>
            <w:rPr>
              <w:rFonts w:hint="eastAsia" w:asciiTheme="minorEastAsia" w:hAnsiTheme="minorEastAsia" w:eastAsiaTheme="minorEastAsia" w:cstheme="minorEastAsia"/>
              <w:sz w:val="21"/>
              <w:szCs w:val="21"/>
            </w:rPr>
            <w:t>三、商务部分</w:t>
          </w:r>
          <w:r>
            <w:rPr>
              <w:sz w:val="21"/>
              <w:szCs w:val="21"/>
            </w:rPr>
            <w:tab/>
          </w:r>
          <w:r>
            <w:rPr>
              <w:sz w:val="21"/>
              <w:szCs w:val="21"/>
            </w:rPr>
            <w:fldChar w:fldCharType="begin"/>
          </w:r>
          <w:r>
            <w:rPr>
              <w:sz w:val="21"/>
              <w:szCs w:val="21"/>
            </w:rPr>
            <w:instrText xml:space="preserve"> PAGEREF _Toc21780 \h </w:instrText>
          </w:r>
          <w:r>
            <w:rPr>
              <w:sz w:val="21"/>
              <w:szCs w:val="21"/>
            </w:rPr>
            <w:fldChar w:fldCharType="separate"/>
          </w:r>
          <w:r>
            <w:rPr>
              <w:sz w:val="21"/>
              <w:szCs w:val="21"/>
            </w:rPr>
            <w:t>53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"_Toc6889" </w:instrText>
          </w:r>
          <w:r>
            <w:rPr>
              <w:sz w:val="21"/>
              <w:szCs w:val="21"/>
            </w:rPr>
            <w:fldChar w:fldCharType="separate"/>
          </w:r>
          <w:r>
            <w:rPr>
              <w:rFonts w:hint="eastAsia" w:asciiTheme="minorEastAsia" w:hAnsiTheme="minorEastAsia" w:eastAsiaTheme="minorEastAsia" w:cstheme="minorEastAsia"/>
              <w:sz w:val="21"/>
              <w:szCs w:val="21"/>
            </w:rPr>
            <w:t>（一）法定代表人身份证明书</w:t>
          </w:r>
          <w:r>
            <w:rPr>
              <w:sz w:val="21"/>
              <w:szCs w:val="21"/>
            </w:rPr>
            <w:tab/>
          </w:r>
          <w:r>
            <w:rPr>
              <w:sz w:val="21"/>
              <w:szCs w:val="21"/>
            </w:rPr>
            <w:fldChar w:fldCharType="begin"/>
          </w:r>
          <w:r>
            <w:rPr>
              <w:sz w:val="21"/>
              <w:szCs w:val="21"/>
            </w:rPr>
            <w:instrText xml:space="preserve"> PAGEREF _Toc6889 \h </w:instrText>
          </w:r>
          <w:r>
            <w:rPr>
              <w:sz w:val="21"/>
              <w:szCs w:val="21"/>
            </w:rPr>
            <w:fldChar w:fldCharType="separate"/>
          </w:r>
          <w:r>
            <w:rPr>
              <w:sz w:val="21"/>
              <w:szCs w:val="21"/>
            </w:rPr>
            <w:t>53</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"_Toc19346" </w:instrText>
          </w:r>
          <w:r>
            <w:rPr>
              <w:sz w:val="21"/>
              <w:szCs w:val="21"/>
            </w:rPr>
            <w:fldChar w:fldCharType="separate"/>
          </w:r>
          <w:r>
            <w:rPr>
              <w:rFonts w:hint="eastAsia" w:asciiTheme="minorEastAsia" w:hAnsiTheme="minorEastAsia" w:eastAsiaTheme="minorEastAsia" w:cstheme="minorEastAsia"/>
              <w:sz w:val="21"/>
              <w:szCs w:val="21"/>
            </w:rPr>
            <w:t>（二）法人授权委托书</w:t>
          </w:r>
          <w:r>
            <w:rPr>
              <w:sz w:val="21"/>
              <w:szCs w:val="21"/>
            </w:rPr>
            <w:tab/>
          </w:r>
          <w:r>
            <w:rPr>
              <w:sz w:val="21"/>
              <w:szCs w:val="21"/>
            </w:rPr>
            <w:fldChar w:fldCharType="begin"/>
          </w:r>
          <w:r>
            <w:rPr>
              <w:sz w:val="21"/>
              <w:szCs w:val="21"/>
            </w:rPr>
            <w:instrText xml:space="preserve"> PAGEREF _Toc19346 \h </w:instrText>
          </w:r>
          <w:r>
            <w:rPr>
              <w:sz w:val="21"/>
              <w:szCs w:val="21"/>
            </w:rPr>
            <w:fldChar w:fldCharType="separate"/>
          </w:r>
          <w:r>
            <w:rPr>
              <w:sz w:val="21"/>
              <w:szCs w:val="21"/>
            </w:rPr>
            <w:t>54</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"_Toc11917" </w:instrText>
          </w:r>
          <w:r>
            <w:rPr>
              <w:sz w:val="21"/>
              <w:szCs w:val="21"/>
            </w:rPr>
            <w:fldChar w:fldCharType="separate"/>
          </w:r>
          <w:r>
            <w:rPr>
              <w:rFonts w:hint="eastAsia" w:asciiTheme="minorEastAsia" w:hAnsiTheme="minorEastAsia" w:eastAsiaTheme="minorEastAsia" w:cstheme="minorEastAsia"/>
              <w:sz w:val="21"/>
              <w:szCs w:val="21"/>
            </w:rPr>
            <w:t>（三）资格证明文件</w:t>
          </w:r>
          <w:r>
            <w:rPr>
              <w:sz w:val="21"/>
              <w:szCs w:val="21"/>
            </w:rPr>
            <w:tab/>
          </w:r>
          <w:r>
            <w:rPr>
              <w:sz w:val="21"/>
              <w:szCs w:val="21"/>
            </w:rPr>
            <w:fldChar w:fldCharType="begin"/>
          </w:r>
          <w:r>
            <w:rPr>
              <w:sz w:val="21"/>
              <w:szCs w:val="21"/>
            </w:rPr>
            <w:instrText xml:space="preserve"> PAGEREF _Toc11917 \h </w:instrText>
          </w:r>
          <w:r>
            <w:rPr>
              <w:sz w:val="21"/>
              <w:szCs w:val="21"/>
            </w:rPr>
            <w:fldChar w:fldCharType="separate"/>
          </w:r>
          <w:r>
            <w:rPr>
              <w:sz w:val="21"/>
              <w:szCs w:val="21"/>
            </w:rPr>
            <w:t>55</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"_Toc29798" </w:instrText>
          </w:r>
          <w:r>
            <w:rPr>
              <w:sz w:val="21"/>
              <w:szCs w:val="21"/>
            </w:rPr>
            <w:fldChar w:fldCharType="separate"/>
          </w:r>
          <w:r>
            <w:rPr>
              <w:rFonts w:hint="eastAsia" w:asciiTheme="minorEastAsia" w:hAnsiTheme="minorEastAsia" w:eastAsiaTheme="minorEastAsia" w:cstheme="minorEastAsia"/>
              <w:sz w:val="21"/>
              <w:szCs w:val="21"/>
            </w:rPr>
            <w:t>（四）供应商基本情况表</w:t>
          </w:r>
          <w:r>
            <w:rPr>
              <w:sz w:val="21"/>
              <w:szCs w:val="21"/>
            </w:rPr>
            <w:tab/>
          </w:r>
          <w:r>
            <w:rPr>
              <w:sz w:val="21"/>
              <w:szCs w:val="21"/>
            </w:rPr>
            <w:fldChar w:fldCharType="begin"/>
          </w:r>
          <w:r>
            <w:rPr>
              <w:sz w:val="21"/>
              <w:szCs w:val="21"/>
            </w:rPr>
            <w:instrText xml:space="preserve"> PAGEREF _Toc29798 \h </w:instrText>
          </w:r>
          <w:r>
            <w:rPr>
              <w:sz w:val="21"/>
              <w:szCs w:val="21"/>
            </w:rPr>
            <w:fldChar w:fldCharType="separate"/>
          </w:r>
          <w:r>
            <w:rPr>
              <w:sz w:val="21"/>
              <w:szCs w:val="21"/>
            </w:rPr>
            <w:t>56</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"_Toc11633" </w:instrText>
          </w:r>
          <w:r>
            <w:rPr>
              <w:sz w:val="21"/>
              <w:szCs w:val="21"/>
            </w:rPr>
            <w:fldChar w:fldCharType="separate"/>
          </w:r>
          <w:r>
            <w:rPr>
              <w:rFonts w:hint="eastAsia" w:asciiTheme="minorEastAsia" w:hAnsiTheme="minorEastAsia" w:eastAsiaTheme="minorEastAsia" w:cstheme="minorEastAsia"/>
              <w:sz w:val="21"/>
              <w:szCs w:val="21"/>
            </w:rPr>
            <w:t>（五）供应商主要业绩情况</w:t>
          </w:r>
          <w:r>
            <w:rPr>
              <w:sz w:val="21"/>
              <w:szCs w:val="21"/>
            </w:rPr>
            <w:tab/>
          </w:r>
          <w:r>
            <w:rPr>
              <w:sz w:val="21"/>
              <w:szCs w:val="21"/>
            </w:rPr>
            <w:fldChar w:fldCharType="begin"/>
          </w:r>
          <w:r>
            <w:rPr>
              <w:sz w:val="21"/>
              <w:szCs w:val="21"/>
            </w:rPr>
            <w:instrText xml:space="preserve"> PAGEREF _Toc11633 \h </w:instrText>
          </w:r>
          <w:r>
            <w:rPr>
              <w:sz w:val="21"/>
              <w:szCs w:val="21"/>
            </w:rPr>
            <w:fldChar w:fldCharType="separate"/>
          </w:r>
          <w:r>
            <w:rPr>
              <w:sz w:val="21"/>
              <w:szCs w:val="21"/>
            </w:rPr>
            <w:t>57</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"_Toc7616" </w:instrText>
          </w:r>
          <w:r>
            <w:rPr>
              <w:sz w:val="21"/>
              <w:szCs w:val="21"/>
            </w:rPr>
            <w:fldChar w:fldCharType="separate"/>
          </w:r>
          <w:r>
            <w:rPr>
              <w:rFonts w:hint="eastAsia" w:asciiTheme="minorEastAsia" w:hAnsiTheme="minorEastAsia" w:eastAsiaTheme="minorEastAsia" w:cstheme="minorEastAsia"/>
              <w:sz w:val="21"/>
              <w:szCs w:val="21"/>
            </w:rPr>
            <w:t>（六）商务偏离表</w:t>
          </w:r>
          <w:r>
            <w:rPr>
              <w:sz w:val="21"/>
              <w:szCs w:val="21"/>
            </w:rPr>
            <w:tab/>
          </w:r>
          <w:r>
            <w:rPr>
              <w:sz w:val="21"/>
              <w:szCs w:val="21"/>
            </w:rPr>
            <w:fldChar w:fldCharType="begin"/>
          </w:r>
          <w:r>
            <w:rPr>
              <w:sz w:val="21"/>
              <w:szCs w:val="21"/>
            </w:rPr>
            <w:instrText xml:space="preserve"> PAGEREF _Toc7616 \h </w:instrText>
          </w:r>
          <w:r>
            <w:rPr>
              <w:sz w:val="21"/>
              <w:szCs w:val="21"/>
            </w:rPr>
            <w:fldChar w:fldCharType="separate"/>
          </w:r>
          <w:r>
            <w:rPr>
              <w:sz w:val="21"/>
              <w:szCs w:val="21"/>
            </w:rPr>
            <w:t>58</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"_Toc10171" </w:instrText>
          </w:r>
          <w:r>
            <w:rPr>
              <w:sz w:val="21"/>
              <w:szCs w:val="21"/>
            </w:rPr>
            <w:fldChar w:fldCharType="separate"/>
          </w:r>
          <w:r>
            <w:rPr>
              <w:rFonts w:hint="eastAsia" w:asciiTheme="minorEastAsia" w:hAnsiTheme="minorEastAsia" w:eastAsiaTheme="minorEastAsia" w:cstheme="minorEastAsia"/>
              <w:sz w:val="21"/>
              <w:szCs w:val="21"/>
            </w:rPr>
            <w:t>四、技术部分</w:t>
          </w:r>
          <w:r>
            <w:rPr>
              <w:sz w:val="21"/>
              <w:szCs w:val="21"/>
            </w:rPr>
            <w:tab/>
          </w:r>
          <w:r>
            <w:rPr>
              <w:sz w:val="21"/>
              <w:szCs w:val="21"/>
            </w:rPr>
            <w:fldChar w:fldCharType="begin"/>
          </w:r>
          <w:r>
            <w:rPr>
              <w:sz w:val="21"/>
              <w:szCs w:val="21"/>
            </w:rPr>
            <w:instrText xml:space="preserve"> PAGEREF _Toc10171 \h </w:instrText>
          </w:r>
          <w:r>
            <w:rPr>
              <w:sz w:val="21"/>
              <w:szCs w:val="21"/>
            </w:rPr>
            <w:fldChar w:fldCharType="separate"/>
          </w:r>
          <w:r>
            <w:rPr>
              <w:sz w:val="21"/>
              <w:szCs w:val="21"/>
            </w:rPr>
            <w:t>59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"_Toc13867"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一</w:t>
          </w:r>
          <w:r>
            <w:rPr>
              <w:rFonts w:hint="eastAsia" w:asciiTheme="minorEastAsia" w:hAnsiTheme="minorEastAsia" w:eastAsiaTheme="minorEastAsia" w:cstheme="minorEastAsia"/>
              <w:sz w:val="21"/>
              <w:szCs w:val="21"/>
            </w:rPr>
            <w:t>）服务方案</w:t>
          </w:r>
          <w:r>
            <w:rPr>
              <w:sz w:val="21"/>
              <w:szCs w:val="21"/>
            </w:rPr>
            <w:tab/>
          </w:r>
          <w:r>
            <w:rPr>
              <w:sz w:val="21"/>
              <w:szCs w:val="21"/>
            </w:rPr>
            <w:fldChar w:fldCharType="begin"/>
          </w:r>
          <w:r>
            <w:rPr>
              <w:sz w:val="21"/>
              <w:szCs w:val="21"/>
            </w:rPr>
            <w:instrText xml:space="preserve"> PAGEREF _Toc13867 \h </w:instrText>
          </w:r>
          <w:r>
            <w:rPr>
              <w:sz w:val="21"/>
              <w:szCs w:val="21"/>
            </w:rPr>
            <w:fldChar w:fldCharType="separate"/>
          </w:r>
          <w:r>
            <w:rPr>
              <w:sz w:val="21"/>
              <w:szCs w:val="21"/>
            </w:rPr>
            <w:t>59</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"_Toc25459"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二</w:t>
          </w:r>
          <w:r>
            <w:rPr>
              <w:rFonts w:hint="eastAsia" w:asciiTheme="minorEastAsia" w:hAnsiTheme="minorEastAsia" w:eastAsiaTheme="minorEastAsia" w:cstheme="minorEastAsia"/>
              <w:sz w:val="21"/>
              <w:szCs w:val="21"/>
            </w:rPr>
            <w:t>）技术偏离表</w:t>
          </w:r>
          <w:r>
            <w:rPr>
              <w:sz w:val="21"/>
              <w:szCs w:val="21"/>
            </w:rPr>
            <w:tab/>
          </w:r>
          <w:r>
            <w:rPr>
              <w:sz w:val="21"/>
              <w:szCs w:val="21"/>
            </w:rPr>
            <w:fldChar w:fldCharType="begin"/>
          </w:r>
          <w:r>
            <w:rPr>
              <w:sz w:val="21"/>
              <w:szCs w:val="21"/>
            </w:rPr>
            <w:instrText xml:space="preserve"> PAGEREF _Toc25459 \h </w:instrText>
          </w:r>
          <w:r>
            <w:rPr>
              <w:sz w:val="21"/>
              <w:szCs w:val="21"/>
            </w:rPr>
            <w:fldChar w:fldCharType="separate"/>
          </w:r>
          <w:r>
            <w:rPr>
              <w:sz w:val="21"/>
              <w:szCs w:val="21"/>
            </w:rPr>
            <w:t>60</w:t>
          </w:r>
          <w:r>
            <w:rPr>
              <w:sz w:val="21"/>
              <w:szCs w:val="21"/>
            </w:rPr>
            <w:fldChar w:fldCharType="end"/>
          </w:r>
          <w:r>
            <w:rPr>
              <w:sz w:val="21"/>
              <w:szCs w:val="21"/>
            </w:rPr>
            <w:fldChar w:fldCharType="end"/>
          </w:r>
        </w:p>
        <w:p>
          <w:pPr>
            <w:pStyle w:val="166"/>
            <w:tabs>
              <w:tab w:val="right" w:leader="dot" w:pos="8731"/>
            </w:tabs>
            <w:ind w:left="420"/>
            <w:rPr>
              <w:sz w:val="21"/>
              <w:szCs w:val="21"/>
            </w:rPr>
          </w:pPr>
          <w:r>
            <w:rPr>
              <w:sz w:val="21"/>
              <w:szCs w:val="21"/>
            </w:rPr>
            <w:fldChar w:fldCharType="begin"/>
          </w:r>
          <w:r>
            <w:rPr>
              <w:sz w:val="21"/>
              <w:szCs w:val="21"/>
            </w:rPr>
            <w:instrText xml:space="preserve"> HYPERLINK \l "_Toc1567" </w:instrText>
          </w:r>
          <w:r>
            <w:rPr>
              <w:sz w:val="21"/>
              <w:szCs w:val="21"/>
            </w:rPr>
            <w:fldChar w:fldCharType="separate"/>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三</w:t>
          </w:r>
          <w:r>
            <w:rPr>
              <w:rFonts w:hint="eastAsia" w:asciiTheme="minorEastAsia" w:hAnsiTheme="minorEastAsia" w:eastAsiaTheme="minorEastAsia" w:cstheme="minorEastAsia"/>
              <w:sz w:val="21"/>
              <w:szCs w:val="21"/>
            </w:rPr>
            <w:t>）其他</w:t>
          </w:r>
          <w:r>
            <w:rPr>
              <w:sz w:val="21"/>
              <w:szCs w:val="21"/>
            </w:rPr>
            <w:tab/>
          </w:r>
          <w:r>
            <w:rPr>
              <w:sz w:val="21"/>
              <w:szCs w:val="21"/>
            </w:rPr>
            <w:fldChar w:fldCharType="begin"/>
          </w:r>
          <w:r>
            <w:rPr>
              <w:sz w:val="21"/>
              <w:szCs w:val="21"/>
            </w:rPr>
            <w:instrText xml:space="preserve"> PAGEREF _Toc1567 \h </w:instrText>
          </w:r>
          <w:r>
            <w:rPr>
              <w:sz w:val="21"/>
              <w:szCs w:val="21"/>
            </w:rPr>
            <w:fldChar w:fldCharType="separate"/>
          </w:r>
          <w:r>
            <w:rPr>
              <w:sz w:val="21"/>
              <w:szCs w:val="21"/>
            </w:rPr>
            <w:t>61</w:t>
          </w:r>
          <w:r>
            <w:rPr>
              <w:sz w:val="21"/>
              <w:szCs w:val="21"/>
            </w:rPr>
            <w:fldChar w:fldCharType="end"/>
          </w:r>
          <w:r>
            <w:rPr>
              <w:sz w:val="21"/>
              <w:szCs w:val="21"/>
            </w:rPr>
            <w:fldChar w:fldCharType="end"/>
          </w:r>
        </w:p>
        <w:p>
          <w:pPr>
            <w:pStyle w:val="165"/>
            <w:tabs>
              <w:tab w:val="right" w:leader="dot" w:pos="8731"/>
            </w:tabs>
            <w:ind w:firstLine="420" w:firstLineChars="200"/>
            <w:rPr>
              <w:sz w:val="21"/>
              <w:szCs w:val="21"/>
            </w:rPr>
          </w:pPr>
          <w:r>
            <w:rPr>
              <w:sz w:val="21"/>
              <w:szCs w:val="21"/>
            </w:rPr>
            <w:fldChar w:fldCharType="begin"/>
          </w:r>
          <w:r>
            <w:rPr>
              <w:sz w:val="21"/>
              <w:szCs w:val="21"/>
            </w:rPr>
            <w:instrText xml:space="preserve"> HYPERLINK \l "_Toc15235" </w:instrText>
          </w:r>
          <w:r>
            <w:rPr>
              <w:sz w:val="21"/>
              <w:szCs w:val="21"/>
            </w:rPr>
            <w:fldChar w:fldCharType="separate"/>
          </w:r>
          <w:r>
            <w:rPr>
              <w:rFonts w:hint="eastAsia" w:asciiTheme="minorEastAsia" w:hAnsiTheme="minorEastAsia" w:eastAsiaTheme="minorEastAsia" w:cstheme="minorEastAsia"/>
              <w:sz w:val="21"/>
              <w:szCs w:val="21"/>
            </w:rPr>
            <w:t>五、其他部分</w:t>
          </w:r>
          <w:r>
            <w:rPr>
              <w:sz w:val="21"/>
              <w:szCs w:val="21"/>
            </w:rPr>
            <w:tab/>
          </w:r>
          <w:r>
            <w:rPr>
              <w:sz w:val="21"/>
              <w:szCs w:val="21"/>
            </w:rPr>
            <w:fldChar w:fldCharType="begin"/>
          </w:r>
          <w:r>
            <w:rPr>
              <w:sz w:val="21"/>
              <w:szCs w:val="21"/>
            </w:rPr>
            <w:instrText xml:space="preserve"> PAGEREF _Toc15235 \h </w:instrText>
          </w:r>
          <w:r>
            <w:rPr>
              <w:sz w:val="21"/>
              <w:szCs w:val="21"/>
            </w:rPr>
            <w:fldChar w:fldCharType="separate"/>
          </w:r>
          <w:r>
            <w:rPr>
              <w:sz w:val="21"/>
              <w:szCs w:val="21"/>
            </w:rPr>
            <w:t>62</w:t>
          </w:r>
          <w:r>
            <w:rPr>
              <w:sz w:val="21"/>
              <w:szCs w:val="21"/>
            </w:rPr>
            <w:fldChar w:fldCharType="end"/>
          </w:r>
          <w:r>
            <w:rPr>
              <w:sz w:val="21"/>
              <w:szCs w:val="21"/>
            </w:rPr>
            <w:fldChar w:fldCharType="end"/>
          </w:r>
        </w:p>
        <w:p>
          <w:pPr>
            <w:pStyle w:val="165"/>
            <w:tabs>
              <w:tab w:val="right" w:leader="dot" w:pos="8731"/>
            </w:tabs>
            <w:rPr>
              <w:rFonts w:hint="eastAsia" w:asciiTheme="minorEastAsia" w:hAnsiTheme="minorEastAsia" w:eastAsiaTheme="minorEastAsia" w:cstheme="minorEastAsia"/>
              <w:b/>
              <w:bCs/>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2"/>
              <w14:textFill>
                <w14:solidFill>
                  <w14:schemeClr w14:val="tx1"/>
                </w14:solidFill>
              </w14:textFill>
            </w:rPr>
            <w:fldChar w:fldCharType="end"/>
          </w:r>
        </w:p>
      </w:sdtContent>
    </w:sdt>
    <w:p>
      <w:pPr>
        <w:bidi w:val="0"/>
        <w:rPr>
          <w:rFonts w:hint="eastAsia"/>
        </w:rPr>
      </w:pPr>
    </w:p>
    <w:p>
      <w:pPr>
        <w:bidi w:val="0"/>
        <w:rPr>
          <w:rFonts w:hint="eastAsia"/>
        </w:rPr>
      </w:pPr>
    </w:p>
    <w:p>
      <w:pPr>
        <w:tabs>
          <w:tab w:val="center" w:pos="4365"/>
        </w:tabs>
        <w:bidi w:val="0"/>
        <w:jc w:val="left"/>
        <w:rPr>
          <w:rFonts w:hint="eastAsia" w:eastAsia="宋体"/>
          <w:lang w:eastAsia="zh-CN"/>
        </w:rPr>
        <w:sectPr>
          <w:pgSz w:w="11907" w:h="16840"/>
          <w:pgMar w:top="1418" w:right="1588" w:bottom="1247" w:left="1588" w:header="907" w:footer="907" w:gutter="0"/>
          <w:pgBorders>
            <w:top w:val="none" w:sz="0" w:space="0"/>
            <w:left w:val="none" w:sz="0" w:space="0"/>
            <w:bottom w:val="none" w:sz="0" w:space="0"/>
            <w:right w:val="none" w:sz="0" w:space="0"/>
          </w:pgBorders>
          <w:pgNumType w:start="1"/>
          <w:cols w:space="720" w:num="1"/>
          <w:docGrid w:linePitch="312" w:charSpace="0"/>
        </w:sectPr>
      </w:pPr>
      <w:r>
        <w:rPr>
          <w:rFonts w:hint="eastAsia"/>
          <w:lang w:eastAsia="zh-CN"/>
        </w:rPr>
        <w:tab/>
      </w:r>
    </w:p>
    <w:p>
      <w:pPr>
        <w:numPr>
          <w:ilvl w:val="0"/>
          <w:numId w:val="1"/>
        </w:numPr>
        <w:adjustRightInd w:val="0"/>
        <w:snapToGrid w:val="0"/>
        <w:spacing w:line="360" w:lineRule="auto"/>
        <w:jc w:val="center"/>
        <w:outlineLvl w:val="0"/>
        <w:rPr>
          <w:rFonts w:hint="eastAsia"/>
          <w:b/>
          <w:sz w:val="40"/>
          <w:szCs w:val="40"/>
          <w:highlight w:val="none"/>
        </w:rPr>
      </w:pPr>
      <w:bookmarkStart w:id="14" w:name="_Hlt9666678"/>
      <w:bookmarkEnd w:id="14"/>
      <w:bookmarkStart w:id="15" w:name="_Toc22018"/>
      <w:bookmarkStart w:id="16" w:name="_Toc24434"/>
      <w:bookmarkStart w:id="17" w:name="_Toc14924"/>
      <w:bookmarkStart w:id="18" w:name="_Toc29046"/>
      <w:r>
        <w:rPr>
          <w:rFonts w:hint="eastAsia"/>
          <w:b/>
          <w:sz w:val="40"/>
          <w:szCs w:val="40"/>
          <w:highlight w:val="none"/>
        </w:rPr>
        <w:t>竞争性磋商公告</w:t>
      </w:r>
      <w:bookmarkEnd w:id="15"/>
      <w:bookmarkEnd w:id="16"/>
      <w:bookmarkEnd w:id="17"/>
      <w:bookmarkEnd w:id="18"/>
    </w:p>
    <w:p>
      <w:pPr>
        <w:keepNext w:val="0"/>
        <w:keepLines w:val="0"/>
        <w:pageBreakBefore w:val="0"/>
        <w:kinsoku/>
        <w:wordWrap/>
        <w:overflowPunct/>
        <w:topLinePunct w:val="0"/>
        <w:bidi w:val="0"/>
        <w:adjustRightInd/>
        <w:snapToGrid/>
        <w:spacing w:line="500" w:lineRule="exact"/>
        <w:jc w:val="center"/>
        <w:textAlignment w:val="auto"/>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项目概况</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宋体" w:hAnsi="宋体" w:cs="Times New Roman"/>
          <w:b w:val="0"/>
          <w:bCs w:val="0"/>
          <w:sz w:val="24"/>
          <w:u w:val="none"/>
          <w:lang w:eastAsia="zh-CN"/>
        </w:rPr>
      </w:pPr>
      <w:r>
        <w:rPr>
          <w:rFonts w:hint="eastAsia" w:ascii="宋体" w:hAnsi="宋体" w:cs="Times New Roman"/>
          <w:b w:val="0"/>
          <w:bCs w:val="0"/>
          <w:sz w:val="24"/>
          <w:u w:val="single"/>
          <w:lang w:eastAsia="zh-CN"/>
        </w:rPr>
        <w:t>谌家矶片区明渠维护第三方服务</w:t>
      </w:r>
      <w:r>
        <w:rPr>
          <w:rFonts w:hint="eastAsia" w:ascii="宋体" w:hAnsi="宋体" w:cs="Times New Roman"/>
          <w:b w:val="0"/>
          <w:bCs w:val="0"/>
          <w:sz w:val="24"/>
          <w:u w:val="none"/>
          <w:lang w:eastAsia="zh-CN"/>
        </w:rPr>
        <w:t>采购项目的潜在供应商应在</w:t>
      </w:r>
      <w:r>
        <w:rPr>
          <w:rFonts w:hint="eastAsia" w:ascii="宋体" w:hAnsi="宋体" w:cs="Times New Roman"/>
          <w:b w:val="0"/>
          <w:bCs w:val="0"/>
          <w:sz w:val="24"/>
          <w:u w:val="single"/>
          <w:lang w:eastAsia="zh-CN"/>
        </w:rPr>
        <w:t>湖北中楚建设工程咨询有限公司（武汉市发展大道172号怡景商务大厦A座10楼）或网上或邮寄</w:t>
      </w:r>
      <w:r>
        <w:rPr>
          <w:rFonts w:hint="eastAsia" w:ascii="宋体" w:hAnsi="宋体" w:cs="Times New Roman"/>
          <w:b w:val="0"/>
          <w:bCs w:val="0"/>
          <w:sz w:val="24"/>
          <w:u w:val="none"/>
          <w:lang w:eastAsia="zh-CN"/>
        </w:rPr>
        <w:t>获取采购文件，并于</w:t>
      </w:r>
      <w:r>
        <w:rPr>
          <w:rFonts w:hint="eastAsia" w:ascii="宋体" w:hAnsi="宋体" w:cs="Times New Roman"/>
          <w:b w:val="0"/>
          <w:bCs w:val="0"/>
          <w:sz w:val="24"/>
          <w:u w:val="single"/>
          <w:lang w:eastAsia="zh-CN"/>
        </w:rPr>
        <w:t>2023年</w:t>
      </w:r>
      <w:r>
        <w:rPr>
          <w:rFonts w:hint="eastAsia" w:ascii="宋体" w:hAnsi="宋体" w:cs="Times New Roman"/>
          <w:b w:val="0"/>
          <w:bCs w:val="0"/>
          <w:sz w:val="24"/>
          <w:u w:val="single"/>
          <w:lang w:val="en-US" w:eastAsia="zh-CN"/>
        </w:rPr>
        <w:t>12</w:t>
      </w:r>
      <w:r>
        <w:rPr>
          <w:rFonts w:hint="eastAsia" w:ascii="宋体" w:hAnsi="宋体" w:cs="Times New Roman"/>
          <w:b w:val="0"/>
          <w:bCs w:val="0"/>
          <w:sz w:val="24"/>
          <w:u w:val="single"/>
          <w:lang w:eastAsia="zh-CN"/>
        </w:rPr>
        <w:t>月</w:t>
      </w:r>
      <w:r>
        <w:rPr>
          <w:rFonts w:hint="eastAsia" w:ascii="宋体" w:hAnsi="宋体" w:cs="Times New Roman"/>
          <w:b w:val="0"/>
          <w:bCs w:val="0"/>
          <w:sz w:val="24"/>
          <w:u w:val="single"/>
          <w:lang w:val="en-US" w:eastAsia="zh-CN"/>
        </w:rPr>
        <w:t>07</w:t>
      </w:r>
      <w:r>
        <w:rPr>
          <w:rFonts w:hint="eastAsia" w:ascii="宋体" w:hAnsi="宋体" w:cs="Times New Roman"/>
          <w:b w:val="0"/>
          <w:bCs w:val="0"/>
          <w:sz w:val="24"/>
          <w:u w:val="single"/>
          <w:lang w:eastAsia="zh-CN"/>
        </w:rPr>
        <w:t xml:space="preserve">日 </w:t>
      </w:r>
      <w:r>
        <w:rPr>
          <w:rFonts w:hint="eastAsia" w:ascii="宋体" w:hAnsi="宋体" w:cs="Times New Roman"/>
          <w:b w:val="0"/>
          <w:bCs w:val="0"/>
          <w:sz w:val="24"/>
          <w:u w:val="single"/>
          <w:lang w:val="en-US" w:eastAsia="zh-CN"/>
        </w:rPr>
        <w:t>14</w:t>
      </w:r>
      <w:r>
        <w:rPr>
          <w:rFonts w:hint="eastAsia" w:ascii="宋体" w:hAnsi="宋体" w:cs="Times New Roman"/>
          <w:b w:val="0"/>
          <w:bCs w:val="0"/>
          <w:sz w:val="24"/>
          <w:u w:val="single"/>
          <w:lang w:eastAsia="zh-CN"/>
        </w:rPr>
        <w:t>点30分（北京时间）</w:t>
      </w:r>
      <w:r>
        <w:rPr>
          <w:rFonts w:hint="eastAsia" w:ascii="宋体" w:hAnsi="宋体" w:cs="Times New Roman"/>
          <w:b w:val="0"/>
          <w:bCs w:val="0"/>
          <w:sz w:val="24"/>
          <w:u w:val="none"/>
          <w:lang w:eastAsia="zh-CN"/>
        </w:rPr>
        <w:t>前提交响应文件。</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一、项目基本情况</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default" w:asciiTheme="minorEastAsia" w:hAnsiTheme="minorEastAsia" w:eastAsiaTheme="minorEastAsia" w:cstheme="minorEastAsia"/>
          <w:b w:val="0"/>
          <w:bCs w:val="0"/>
          <w:kern w:val="0"/>
          <w:sz w:val="24"/>
          <w:szCs w:val="24"/>
          <w:highlight w:val="none"/>
          <w:u w:val="none"/>
          <w:lang w:val="en-US" w:bidi="zh-CN"/>
        </w:rPr>
      </w:pPr>
      <w:r>
        <w:rPr>
          <w:rFonts w:hint="eastAsia" w:asciiTheme="minorEastAsia" w:hAnsiTheme="minorEastAsia" w:eastAsiaTheme="minorEastAsia" w:cstheme="minorEastAsia"/>
          <w:b w:val="0"/>
          <w:bCs w:val="0"/>
          <w:kern w:val="0"/>
          <w:sz w:val="24"/>
          <w:szCs w:val="24"/>
          <w:highlight w:val="none"/>
          <w:u w:val="none"/>
          <w:lang w:bidi="zh-CN"/>
        </w:rPr>
        <w:t>项目编号：HBZC-ZB-2023-Z1055</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项目名称：谌家矶片区明渠维护第三方服务</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采购方式：竞争性磋商</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预算金额：</w:t>
      </w:r>
      <w:r>
        <w:rPr>
          <w:rFonts w:hint="eastAsia" w:asciiTheme="minorEastAsia" w:hAnsiTheme="minorEastAsia" w:eastAsiaTheme="minorEastAsia" w:cstheme="minorEastAsia"/>
          <w:b w:val="0"/>
          <w:bCs w:val="0"/>
          <w:kern w:val="0"/>
          <w:sz w:val="24"/>
          <w:szCs w:val="24"/>
          <w:highlight w:val="none"/>
          <w:u w:val="none"/>
          <w:lang w:val="en-US" w:bidi="zh-CN"/>
        </w:rPr>
        <w:t>34.80</w:t>
      </w:r>
      <w:r>
        <w:rPr>
          <w:rFonts w:hint="eastAsia" w:asciiTheme="minorEastAsia" w:hAnsiTheme="minorEastAsia" w:eastAsiaTheme="minorEastAsia" w:cstheme="minorEastAsia"/>
          <w:b w:val="0"/>
          <w:bCs w:val="0"/>
          <w:kern w:val="0"/>
          <w:sz w:val="24"/>
          <w:szCs w:val="24"/>
          <w:highlight w:val="none"/>
          <w:u w:val="none"/>
          <w:lang w:bidi="zh-CN"/>
        </w:rPr>
        <w:t>万元（人民币）</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最高限价（如有）：</w:t>
      </w:r>
      <w:r>
        <w:rPr>
          <w:rFonts w:hint="eastAsia" w:asciiTheme="minorEastAsia" w:hAnsiTheme="minorEastAsia" w:eastAsiaTheme="minorEastAsia" w:cstheme="minorEastAsia"/>
          <w:b w:val="0"/>
          <w:bCs w:val="0"/>
          <w:kern w:val="0"/>
          <w:sz w:val="24"/>
          <w:szCs w:val="24"/>
          <w:highlight w:val="none"/>
          <w:u w:val="none"/>
          <w:lang w:val="en-US" w:bidi="zh-CN"/>
        </w:rPr>
        <w:t>34.799647</w:t>
      </w:r>
      <w:r>
        <w:rPr>
          <w:rFonts w:hint="eastAsia" w:asciiTheme="minorEastAsia" w:hAnsiTheme="minorEastAsia" w:eastAsiaTheme="minorEastAsia" w:cstheme="minorEastAsia"/>
          <w:b w:val="0"/>
          <w:bCs w:val="0"/>
          <w:kern w:val="0"/>
          <w:sz w:val="24"/>
          <w:szCs w:val="24"/>
          <w:highlight w:val="none"/>
          <w:u w:val="none"/>
          <w:lang w:bidi="zh-CN"/>
        </w:rPr>
        <w:t>万元（人民币）</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采购需求：</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谌家矶片区明渠维护第三方服务，详见磋商文件</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default" w:asciiTheme="minorEastAsia" w:hAnsiTheme="minorEastAsia" w:eastAsiaTheme="minorEastAsia" w:cstheme="minorEastAsia"/>
          <w:b w:val="0"/>
          <w:bCs w:val="0"/>
          <w:kern w:val="0"/>
          <w:sz w:val="24"/>
          <w:szCs w:val="24"/>
          <w:highlight w:val="none"/>
          <w:u w:val="none"/>
          <w:lang w:val="en-US" w:bidi="zh-CN"/>
        </w:rPr>
      </w:pPr>
      <w:r>
        <w:rPr>
          <w:rFonts w:hint="eastAsia" w:asciiTheme="minorEastAsia" w:hAnsiTheme="minorEastAsia" w:eastAsiaTheme="minorEastAsia" w:cstheme="minorEastAsia"/>
          <w:b w:val="0"/>
          <w:bCs w:val="0"/>
          <w:kern w:val="0"/>
          <w:sz w:val="24"/>
          <w:szCs w:val="24"/>
          <w:highlight w:val="none"/>
          <w:u w:val="none"/>
          <w:lang w:bidi="zh-CN"/>
        </w:rPr>
        <w:t>合同履行期限：合同签订之日起一年内</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本项目(不接受)联合体投标。</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二、申请人的资格要求：</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1.满足《中华人民共和国政府采购法》第二十二条规定；</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2.落实政府采购政策需满足的资格要求：(1)政府采购促进中小微企业发展政策； (2) 政府采购强制、优先采购节能产品政策； (3)政府采购优先采购环保产品政策； (4)政府采购支持监狱企业发展政策； (5)促进残疾人就业等政府采购政策； (6)支持创新产品、绿色产品政府采购政策。</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pPr>
      <w:r>
        <w:rPr>
          <w:rFonts w:hint="eastAsia" w:asciiTheme="minorEastAsia" w:hAnsiTheme="minorEastAsia" w:eastAsiaTheme="minorEastAsia" w:cstheme="minorEastAsia"/>
          <w:b w:val="0"/>
          <w:bCs w:val="0"/>
          <w:kern w:val="0"/>
          <w:sz w:val="24"/>
          <w:szCs w:val="24"/>
          <w:highlight w:val="none"/>
          <w:u w:val="none"/>
          <w:lang w:bidi="zh-CN"/>
        </w:rPr>
        <w:t>3.本项目的特定资格要求：（</w:t>
      </w:r>
      <w:r>
        <w:rPr>
          <w:rFonts w:hint="eastAsia" w:asciiTheme="minorEastAsia" w:hAnsiTheme="minorEastAsia" w:eastAsiaTheme="minorEastAsia" w:cstheme="minorEastAsia"/>
          <w:b w:val="0"/>
          <w:bCs w:val="0"/>
          <w:kern w:val="0"/>
          <w:sz w:val="24"/>
          <w:szCs w:val="24"/>
          <w:highlight w:val="none"/>
          <w:u w:val="none"/>
          <w:lang w:val="en-US" w:bidi="zh-CN"/>
        </w:rPr>
        <w:t>1</w:t>
      </w:r>
      <w:r>
        <w:rPr>
          <w:rFonts w:hint="eastAsia" w:asciiTheme="minorEastAsia" w:hAnsiTheme="minorEastAsia" w:eastAsiaTheme="minorEastAsia" w:cstheme="minorEastAsia"/>
          <w:b w:val="0"/>
          <w:bCs w:val="0"/>
          <w:kern w:val="0"/>
          <w:sz w:val="24"/>
          <w:szCs w:val="24"/>
          <w:highlight w:val="none"/>
          <w:u w:val="none"/>
          <w:lang w:bidi="zh-CN"/>
        </w:rPr>
        <w:t>）提供企业诚信承诺书(承诺提交的文件材料均是合法、真实、有效,如有弄虚作假行为,愿意授受取消本项目参与资格且接受相关部门依法处罚)。（</w:t>
      </w:r>
      <w:r>
        <w:rPr>
          <w:rFonts w:hint="eastAsia" w:asciiTheme="minorEastAsia" w:hAnsiTheme="minorEastAsia" w:eastAsiaTheme="minorEastAsia" w:cstheme="minorEastAsia"/>
          <w:b w:val="0"/>
          <w:bCs w:val="0"/>
          <w:kern w:val="0"/>
          <w:sz w:val="24"/>
          <w:szCs w:val="24"/>
          <w:highlight w:val="none"/>
          <w:u w:val="none"/>
          <w:lang w:val="en-US" w:bidi="zh-CN"/>
        </w:rPr>
        <w:t>2</w:t>
      </w:r>
      <w:r>
        <w:rPr>
          <w:rFonts w:hint="eastAsia" w:asciiTheme="minorEastAsia" w:hAnsiTheme="minorEastAsia" w:eastAsiaTheme="minorEastAsia" w:cstheme="minorEastAsia"/>
          <w:b w:val="0"/>
          <w:bCs w:val="0"/>
          <w:kern w:val="0"/>
          <w:sz w:val="24"/>
          <w:szCs w:val="24"/>
          <w:highlight w:val="none"/>
          <w:u w:val="none"/>
          <w:lang w:bidi="zh-CN"/>
        </w:rPr>
        <w:t>）承诺单位负责人为同一人或者存在直接控股、管理关系的不同供应商，不得参加本项目同一合同项下的政府采购活动。（</w:t>
      </w:r>
      <w:r>
        <w:rPr>
          <w:rFonts w:hint="eastAsia" w:asciiTheme="minorEastAsia" w:hAnsiTheme="minorEastAsia" w:eastAsiaTheme="minorEastAsia" w:cstheme="minorEastAsia"/>
          <w:b w:val="0"/>
          <w:bCs w:val="0"/>
          <w:kern w:val="0"/>
          <w:sz w:val="24"/>
          <w:szCs w:val="24"/>
          <w:highlight w:val="none"/>
          <w:u w:val="none"/>
          <w:lang w:val="en-US" w:bidi="zh-CN"/>
        </w:rPr>
        <w:t>3</w:t>
      </w:r>
      <w:r>
        <w:rPr>
          <w:rFonts w:hint="eastAsia" w:asciiTheme="minorEastAsia" w:hAnsiTheme="minorEastAsia" w:eastAsiaTheme="minorEastAsia" w:cstheme="minorEastAsia"/>
          <w:b w:val="0"/>
          <w:bCs w:val="0"/>
          <w:kern w:val="0"/>
          <w:sz w:val="24"/>
          <w:szCs w:val="24"/>
          <w:highlight w:val="none"/>
          <w:u w:val="none"/>
          <w:lang w:bidi="zh-CN"/>
        </w:rPr>
        <w:t>）承诺为本采购项目提供整体设计、规范编制或者项目管理、监理、检测等服务的，不得再参加本项目的其他政府采购活动。（</w:t>
      </w:r>
      <w:r>
        <w:rPr>
          <w:rFonts w:hint="eastAsia" w:asciiTheme="minorEastAsia" w:hAnsiTheme="minorEastAsia" w:eastAsiaTheme="minorEastAsia" w:cstheme="minorEastAsia"/>
          <w:b w:val="0"/>
          <w:bCs w:val="0"/>
          <w:kern w:val="0"/>
          <w:sz w:val="24"/>
          <w:szCs w:val="24"/>
          <w:highlight w:val="none"/>
          <w:u w:val="none"/>
          <w:lang w:val="en-US" w:bidi="zh-CN"/>
        </w:rPr>
        <w:t>4</w:t>
      </w:r>
      <w:r>
        <w:rPr>
          <w:rFonts w:hint="eastAsia" w:asciiTheme="minorEastAsia" w:hAnsiTheme="minorEastAsia" w:eastAsiaTheme="minorEastAsia" w:cstheme="minorEastAsia"/>
          <w:b w:val="0"/>
          <w:bCs w:val="0"/>
          <w:kern w:val="0"/>
          <w:sz w:val="24"/>
          <w:szCs w:val="24"/>
          <w:highlight w:val="none"/>
          <w:u w:val="none"/>
          <w:lang w:bidi="zh-CN"/>
        </w:rPr>
        <w:t>）承诺未被列入失信被执行人、 重大税收违法失信主体，政府采购严重违法失信行为记录名单。</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三、获取采购文件</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时间：2023年</w:t>
      </w:r>
      <w:r>
        <w:rPr>
          <w:rFonts w:hint="eastAsia" w:asciiTheme="minorEastAsia" w:hAnsiTheme="minorEastAsia" w:eastAsiaTheme="minorEastAsia" w:cstheme="minorEastAsia"/>
          <w:b w:val="0"/>
          <w:bCs w:val="0"/>
          <w:kern w:val="0"/>
          <w:sz w:val="24"/>
          <w:szCs w:val="24"/>
          <w:highlight w:val="none"/>
          <w:u w:val="none"/>
          <w:lang w:val="en-US" w:bidi="zh-CN"/>
        </w:rPr>
        <w:t>11</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27</w:t>
      </w:r>
      <w:r>
        <w:rPr>
          <w:rFonts w:hint="eastAsia" w:asciiTheme="minorEastAsia" w:hAnsiTheme="minorEastAsia" w:eastAsiaTheme="minorEastAsia" w:cstheme="minorEastAsia"/>
          <w:b w:val="0"/>
          <w:bCs w:val="0"/>
          <w:kern w:val="0"/>
          <w:sz w:val="24"/>
          <w:szCs w:val="24"/>
          <w:highlight w:val="none"/>
          <w:u w:val="none"/>
          <w:lang w:bidi="zh-CN"/>
        </w:rPr>
        <w:t>日至2023年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01</w:t>
      </w:r>
      <w:r>
        <w:rPr>
          <w:rFonts w:hint="eastAsia" w:asciiTheme="minorEastAsia" w:hAnsiTheme="minorEastAsia" w:eastAsiaTheme="minorEastAsia" w:cstheme="minorEastAsia"/>
          <w:b w:val="0"/>
          <w:bCs w:val="0"/>
          <w:kern w:val="0"/>
          <w:sz w:val="24"/>
          <w:szCs w:val="24"/>
          <w:highlight w:val="none"/>
          <w:u w:val="none"/>
          <w:lang w:bidi="zh-CN"/>
        </w:rPr>
        <w:t>日，每天上午9:00至12:00，下午14:00至17:00。（北京时间，法定节假日除外）</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地点：湖北中楚建设工程咨询有限公司（武汉市发展大道172号怡景商务大厦A座10楼）或网上或邮寄</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方式：现场领取（或网络获取或邮寄）。符合资格的申请人应当在获取时间内，提供以下材料领取磋商（采购）文件：申请人为法人或者其他组织的，需提供单位介绍信（或法人授权委托书）、经办人身份证明；申请人为自然人的只需提供本人身份证明。磋商文件如需网络获取或邮寄的，申请人应将获取磋商文件所需提交的完整资料扫描件发至邮箱446499387@qq.com,并在邮件中注明申请人名称、项目名称、项目包号（如有）、联系人及电话。采购人、采购代理机构对邮寄、电子文本传输过程中发生的迟交或遗失均不承担责任，供应商获取磋商（采购）文件的时效性以供应商提交的完整资料的时间为准。</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售价：￥0.0 元（人民币）</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四、响应文件提交</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截止时间：2023年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07</w:t>
      </w:r>
      <w:r>
        <w:rPr>
          <w:rFonts w:hint="eastAsia" w:asciiTheme="minorEastAsia" w:hAnsiTheme="minorEastAsia" w:eastAsiaTheme="minorEastAsia" w:cstheme="minorEastAsia"/>
          <w:b w:val="0"/>
          <w:bCs w:val="0"/>
          <w:kern w:val="0"/>
          <w:sz w:val="24"/>
          <w:szCs w:val="24"/>
          <w:highlight w:val="none"/>
          <w:u w:val="none"/>
          <w:lang w:bidi="zh-CN"/>
        </w:rPr>
        <w:t xml:space="preserve">日 </w:t>
      </w:r>
      <w:r>
        <w:rPr>
          <w:rFonts w:hint="eastAsia" w:asciiTheme="minorEastAsia" w:hAnsiTheme="minorEastAsia" w:eastAsiaTheme="minorEastAsia" w:cstheme="minorEastAsia"/>
          <w:b w:val="0"/>
          <w:bCs w:val="0"/>
          <w:kern w:val="0"/>
          <w:sz w:val="24"/>
          <w:szCs w:val="24"/>
          <w:highlight w:val="none"/>
          <w:u w:val="none"/>
          <w:lang w:val="en-US" w:bidi="zh-CN"/>
        </w:rPr>
        <w:t>14</w:t>
      </w:r>
      <w:r>
        <w:rPr>
          <w:rFonts w:hint="eastAsia" w:asciiTheme="minorEastAsia" w:hAnsiTheme="minorEastAsia" w:eastAsiaTheme="minorEastAsia" w:cstheme="minorEastAsia"/>
          <w:b w:val="0"/>
          <w:bCs w:val="0"/>
          <w:kern w:val="0"/>
          <w:sz w:val="24"/>
          <w:szCs w:val="24"/>
          <w:highlight w:val="none"/>
          <w:u w:val="none"/>
          <w:lang w:bidi="zh-CN"/>
        </w:rPr>
        <w:t>点30分（北京时间）</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地点：（湖北中楚建设工程咨询有限公司）武汉市发展大道172号怡景商务大厦A座10楼会议室</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五、开启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时间：2023年</w:t>
      </w:r>
      <w:r>
        <w:rPr>
          <w:rFonts w:hint="eastAsia" w:asciiTheme="minorEastAsia" w:hAnsiTheme="minorEastAsia" w:eastAsiaTheme="minorEastAsia" w:cstheme="minorEastAsia"/>
          <w:b w:val="0"/>
          <w:bCs w:val="0"/>
          <w:kern w:val="0"/>
          <w:sz w:val="24"/>
          <w:szCs w:val="24"/>
          <w:highlight w:val="none"/>
          <w:u w:val="none"/>
          <w:lang w:val="en-US" w:bidi="zh-CN"/>
        </w:rPr>
        <w:t>12</w:t>
      </w:r>
      <w:r>
        <w:rPr>
          <w:rFonts w:hint="eastAsia" w:asciiTheme="minorEastAsia" w:hAnsiTheme="minorEastAsia" w:eastAsiaTheme="minorEastAsia" w:cstheme="minorEastAsia"/>
          <w:b w:val="0"/>
          <w:bCs w:val="0"/>
          <w:kern w:val="0"/>
          <w:sz w:val="24"/>
          <w:szCs w:val="24"/>
          <w:highlight w:val="none"/>
          <w:u w:val="none"/>
          <w:lang w:bidi="zh-CN"/>
        </w:rPr>
        <w:t>月</w:t>
      </w:r>
      <w:r>
        <w:rPr>
          <w:rFonts w:hint="eastAsia" w:asciiTheme="minorEastAsia" w:hAnsiTheme="minorEastAsia" w:eastAsiaTheme="minorEastAsia" w:cstheme="minorEastAsia"/>
          <w:b w:val="0"/>
          <w:bCs w:val="0"/>
          <w:kern w:val="0"/>
          <w:sz w:val="24"/>
          <w:szCs w:val="24"/>
          <w:highlight w:val="none"/>
          <w:u w:val="none"/>
          <w:lang w:val="en-US" w:bidi="zh-CN"/>
        </w:rPr>
        <w:t>07</w:t>
      </w:r>
      <w:r>
        <w:rPr>
          <w:rFonts w:hint="eastAsia" w:asciiTheme="minorEastAsia" w:hAnsiTheme="minorEastAsia" w:eastAsiaTheme="minorEastAsia" w:cstheme="minorEastAsia"/>
          <w:b w:val="0"/>
          <w:bCs w:val="0"/>
          <w:kern w:val="0"/>
          <w:sz w:val="24"/>
          <w:szCs w:val="24"/>
          <w:highlight w:val="none"/>
          <w:u w:val="none"/>
          <w:lang w:bidi="zh-CN"/>
        </w:rPr>
        <w:t xml:space="preserve">日 </w:t>
      </w:r>
      <w:r>
        <w:rPr>
          <w:rFonts w:hint="eastAsia" w:asciiTheme="minorEastAsia" w:hAnsiTheme="minorEastAsia" w:eastAsiaTheme="minorEastAsia" w:cstheme="minorEastAsia"/>
          <w:b w:val="0"/>
          <w:bCs w:val="0"/>
          <w:kern w:val="0"/>
          <w:sz w:val="24"/>
          <w:szCs w:val="24"/>
          <w:highlight w:val="none"/>
          <w:u w:val="none"/>
          <w:lang w:val="en-US" w:bidi="zh-CN"/>
        </w:rPr>
        <w:t>14</w:t>
      </w:r>
      <w:r>
        <w:rPr>
          <w:rFonts w:hint="eastAsia" w:asciiTheme="minorEastAsia" w:hAnsiTheme="minorEastAsia" w:eastAsiaTheme="minorEastAsia" w:cstheme="minorEastAsia"/>
          <w:b w:val="0"/>
          <w:bCs w:val="0"/>
          <w:kern w:val="0"/>
          <w:sz w:val="24"/>
          <w:szCs w:val="24"/>
          <w:highlight w:val="none"/>
          <w:u w:val="none"/>
          <w:lang w:bidi="zh-CN"/>
        </w:rPr>
        <w:t>点30分（北京时间）</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地点：（湖北中楚建设工程咨询有限公司）武汉市发展大道172号怡景商务大厦A座10楼会议室</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六、公告期限</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自本公告发布之日起3个工作日。</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七、其他补充事宜</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1.本项目需要落实的政府采购政策：促进中小微企业发展政策、支持监狱企业发展政策、促进残疾人就业政策、节能环保等，具体约定详见本项目采购文件第</w:t>
      </w:r>
      <w:r>
        <w:rPr>
          <w:rFonts w:hint="eastAsia" w:asciiTheme="minorEastAsia" w:hAnsiTheme="minorEastAsia" w:eastAsiaTheme="minorEastAsia" w:cstheme="minorEastAsia"/>
          <w:b w:val="0"/>
          <w:bCs w:val="0"/>
          <w:kern w:val="0"/>
          <w:sz w:val="24"/>
          <w:szCs w:val="24"/>
          <w:highlight w:val="none"/>
          <w:u w:val="none"/>
          <w:lang w:val="en-US" w:bidi="zh-CN"/>
        </w:rPr>
        <w:t>五</w:t>
      </w:r>
      <w:r>
        <w:rPr>
          <w:rFonts w:hint="eastAsia" w:asciiTheme="minorEastAsia" w:hAnsiTheme="minorEastAsia" w:eastAsiaTheme="minorEastAsia" w:cstheme="minorEastAsia"/>
          <w:b w:val="0"/>
          <w:bCs w:val="0"/>
          <w:kern w:val="0"/>
          <w:sz w:val="24"/>
          <w:szCs w:val="24"/>
          <w:highlight w:val="none"/>
          <w:u w:val="none"/>
          <w:lang w:bidi="zh-CN"/>
        </w:rPr>
        <w:t>章政策支持</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2.参加要求：届时敬请参加</w:t>
      </w:r>
      <w:r>
        <w:rPr>
          <w:rFonts w:hint="eastAsia" w:asciiTheme="minorEastAsia" w:hAnsiTheme="minorEastAsia" w:eastAsiaTheme="minorEastAsia" w:cstheme="minorEastAsia"/>
          <w:b w:val="0"/>
          <w:bCs w:val="0"/>
          <w:kern w:val="0"/>
          <w:sz w:val="24"/>
          <w:szCs w:val="24"/>
          <w:highlight w:val="none"/>
          <w:u w:val="none"/>
          <w:lang w:val="en-US" w:bidi="zh-CN"/>
        </w:rPr>
        <w:t>磋商</w:t>
      </w:r>
      <w:r>
        <w:rPr>
          <w:rFonts w:hint="eastAsia" w:asciiTheme="minorEastAsia" w:hAnsiTheme="minorEastAsia" w:eastAsiaTheme="minorEastAsia" w:cstheme="minorEastAsia"/>
          <w:b w:val="0"/>
          <w:bCs w:val="0"/>
          <w:kern w:val="0"/>
          <w:sz w:val="24"/>
          <w:szCs w:val="24"/>
          <w:highlight w:val="none"/>
          <w:u w:val="none"/>
          <w:lang w:bidi="zh-CN"/>
        </w:rPr>
        <w:t xml:space="preserve">的授权代表携本人二代身份证原件及响应文件出席开标会议 </w:t>
      </w:r>
    </w:p>
    <w:p>
      <w:pPr>
        <w:keepNext w:val="0"/>
        <w:keepLines w:val="0"/>
        <w:pageBreakBefore w:val="0"/>
        <w:kinsoku/>
        <w:wordWrap/>
        <w:overflowPunct/>
        <w:topLinePunct w:val="0"/>
        <w:bidi w:val="0"/>
        <w:adjustRightInd/>
        <w:snapToGrid/>
        <w:spacing w:line="500" w:lineRule="exact"/>
        <w:ind w:firstLine="480" w:firstLineChars="200"/>
        <w:textAlignment w:val="auto"/>
        <w:rPr>
          <w:rFonts w:hint="default" w:asciiTheme="minorEastAsia" w:hAnsiTheme="minorEastAsia" w:eastAsiaTheme="minorEastAsia" w:cstheme="minorEastAsia"/>
          <w:b w:val="0"/>
          <w:bCs w:val="0"/>
          <w:kern w:val="0"/>
          <w:sz w:val="24"/>
          <w:szCs w:val="24"/>
          <w:highlight w:val="none"/>
          <w:u w:val="none"/>
          <w:lang w:val="en-US" w:bidi="zh-CN"/>
        </w:rPr>
      </w:pPr>
      <w:bookmarkStart w:id="19" w:name="_Toc32234"/>
      <w:r>
        <w:rPr>
          <w:rFonts w:hint="eastAsia" w:asciiTheme="minorEastAsia" w:hAnsiTheme="minorEastAsia" w:eastAsiaTheme="minorEastAsia" w:cstheme="minorEastAsia"/>
          <w:b w:val="0"/>
          <w:bCs w:val="0"/>
          <w:kern w:val="0"/>
          <w:sz w:val="24"/>
          <w:szCs w:val="24"/>
          <w:highlight w:val="none"/>
          <w:u w:val="none"/>
          <w:lang w:bidi="zh-CN"/>
        </w:rPr>
        <w:t>3.信息发布媒体</w:t>
      </w:r>
      <w:bookmarkEnd w:id="19"/>
      <w:r>
        <w:rPr>
          <w:rFonts w:hint="eastAsia" w:asciiTheme="minorEastAsia" w:hAnsiTheme="minorEastAsia" w:eastAsiaTheme="minorEastAsia" w:cstheme="minorEastAsia"/>
          <w:b w:val="0"/>
          <w:bCs w:val="0"/>
          <w:kern w:val="0"/>
          <w:sz w:val="24"/>
          <w:szCs w:val="24"/>
          <w:highlight w:val="none"/>
          <w:u w:val="none"/>
          <w:lang w:bidi="zh-CN"/>
        </w:rPr>
        <w:t>：湖北中楚建设工程咨询有限公司</w:t>
      </w:r>
      <w:r>
        <w:rPr>
          <w:rFonts w:hint="eastAsia" w:asciiTheme="minorEastAsia" w:hAnsiTheme="minorEastAsia" w:eastAsiaTheme="minorEastAsia" w:cstheme="minorEastAsia"/>
          <w:b w:val="0"/>
          <w:bCs w:val="0"/>
          <w:kern w:val="0"/>
          <w:sz w:val="24"/>
          <w:szCs w:val="24"/>
          <w:highlight w:val="none"/>
          <w:u w:val="none"/>
          <w:lang w:val="en-US" w:bidi="zh-CN"/>
        </w:rPr>
        <w:t>门户网http://www.hbzczx.com/</w:t>
      </w:r>
    </w:p>
    <w:p>
      <w:pPr>
        <w:keepNext w:val="0"/>
        <w:keepLines w:val="0"/>
        <w:pageBreakBefore w:val="0"/>
        <w:kinsoku/>
        <w:wordWrap/>
        <w:overflowPunct/>
        <w:topLinePunct w:val="0"/>
        <w:bidi w:val="0"/>
        <w:adjustRightInd/>
        <w:snapToGrid/>
        <w:spacing w:line="500" w:lineRule="exact"/>
        <w:ind w:firstLine="482" w:firstLineChars="200"/>
        <w:textAlignment w:val="auto"/>
        <w:rPr>
          <w:rFonts w:hint="eastAsia" w:ascii="Times New Roman" w:hAnsi="Times New Roman" w:eastAsia="宋体" w:cs="Times New Roman"/>
          <w:b/>
          <w:bCs/>
          <w:sz w:val="24"/>
          <w:szCs w:val="24"/>
          <w:highlight w:val="none"/>
          <w:u w:val="none"/>
        </w:rPr>
      </w:pPr>
      <w:r>
        <w:rPr>
          <w:rFonts w:hint="eastAsia" w:ascii="Times New Roman" w:hAnsi="Times New Roman" w:eastAsia="宋体" w:cs="Times New Roman"/>
          <w:b/>
          <w:bCs/>
          <w:sz w:val="24"/>
          <w:szCs w:val="24"/>
          <w:highlight w:val="none"/>
          <w:u w:val="none"/>
        </w:rPr>
        <w:t>八、凡对本次采购提出询问，请按以下方式联系。</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1.采购人信息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名 称：武汉长江新区生态环境和水务湖泊局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地址：</w:t>
      </w:r>
      <w:r>
        <w:rPr>
          <w:rFonts w:hint="eastAsia" w:asciiTheme="minorEastAsia" w:hAnsiTheme="minorEastAsia" w:eastAsiaTheme="minorEastAsia" w:cstheme="minorEastAsia"/>
          <w:b w:val="0"/>
          <w:bCs w:val="0"/>
          <w:kern w:val="0"/>
          <w:sz w:val="24"/>
          <w:szCs w:val="24"/>
          <w:highlight w:val="none"/>
          <w:u w:val="none"/>
          <w:lang w:val="en-US" w:bidi="zh-CN"/>
        </w:rPr>
        <w:t>武汉市黄陂区汉口北大道特9号</w:t>
      </w:r>
      <w:r>
        <w:rPr>
          <w:rFonts w:hint="eastAsia" w:asciiTheme="minorEastAsia" w:hAnsiTheme="minorEastAsia" w:eastAsiaTheme="minorEastAsia" w:cstheme="minorEastAsia"/>
          <w:b w:val="0"/>
          <w:bCs w:val="0"/>
          <w:kern w:val="0"/>
          <w:sz w:val="24"/>
          <w:szCs w:val="24"/>
          <w:highlight w:val="none"/>
          <w:u w:val="none"/>
          <w:lang w:bidi="zh-CN"/>
        </w:rPr>
        <w:t>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联系方式：</w:t>
      </w:r>
      <w:r>
        <w:rPr>
          <w:rFonts w:hint="eastAsia" w:asciiTheme="minorEastAsia" w:hAnsiTheme="minorEastAsia" w:eastAsiaTheme="minorEastAsia" w:cstheme="minorEastAsia"/>
          <w:b w:val="0"/>
          <w:bCs w:val="0"/>
          <w:kern w:val="0"/>
          <w:sz w:val="24"/>
          <w:szCs w:val="24"/>
          <w:highlight w:val="none"/>
          <w:u w:val="none"/>
          <w:lang w:val="en-US" w:bidi="zh-CN"/>
        </w:rPr>
        <w:t>吴科长、027-85998156</w:t>
      </w:r>
      <w:r>
        <w:rPr>
          <w:rFonts w:hint="eastAsia" w:asciiTheme="minorEastAsia" w:hAnsiTheme="minorEastAsia" w:eastAsiaTheme="minorEastAsia" w:cstheme="minorEastAsia"/>
          <w:b w:val="0"/>
          <w:bCs w:val="0"/>
          <w:kern w:val="0"/>
          <w:sz w:val="24"/>
          <w:szCs w:val="24"/>
          <w:highlight w:val="none"/>
          <w:u w:val="none"/>
          <w:lang w:bidi="zh-CN"/>
        </w:rPr>
        <w:t>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2.采购代理机构信息</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名 称：湖北中楚建设工程咨询有限公司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地　址：武汉市发展大道172号怡景商务大厦A座10楼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联系方式：葛工、027-85883144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3.项目联系方式</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项目联系人：葛工</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highlight w:val="none"/>
          <w:u w:val="none"/>
          <w:lang w:bidi="zh-CN"/>
        </w:rPr>
      </w:pPr>
      <w:r>
        <w:rPr>
          <w:rFonts w:hint="eastAsia" w:asciiTheme="minorEastAsia" w:hAnsiTheme="minorEastAsia" w:eastAsiaTheme="minorEastAsia" w:cstheme="minorEastAsia"/>
          <w:b w:val="0"/>
          <w:bCs w:val="0"/>
          <w:kern w:val="0"/>
          <w:sz w:val="24"/>
          <w:szCs w:val="24"/>
          <w:highlight w:val="none"/>
          <w:u w:val="none"/>
          <w:lang w:bidi="zh-CN"/>
        </w:rPr>
        <w:t>电　话：027-85883144</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left"/>
        <w:textAlignment w:val="auto"/>
        <w:rPr>
          <w:rFonts w:hint="eastAsia" w:asciiTheme="minorEastAsia" w:hAnsiTheme="minorEastAsia" w:eastAsiaTheme="minorEastAsia" w:cstheme="minorEastAsia"/>
          <w:b w:val="0"/>
          <w:bCs w:val="0"/>
          <w:kern w:val="0"/>
          <w:sz w:val="24"/>
          <w:szCs w:val="24"/>
          <w:u w:val="none"/>
          <w:lang w:bidi="zh-CN"/>
        </w:rPr>
      </w:pPr>
      <w:r>
        <w:rPr>
          <w:rFonts w:hint="eastAsia" w:asciiTheme="minorEastAsia" w:hAnsiTheme="minorEastAsia" w:eastAsiaTheme="minorEastAsia" w:cstheme="minorEastAsia"/>
          <w:b w:val="0"/>
          <w:bCs w:val="0"/>
          <w:kern w:val="0"/>
          <w:sz w:val="24"/>
          <w:szCs w:val="24"/>
          <w:u w:val="none"/>
          <w:lang w:bidi="zh-CN"/>
        </w:rPr>
        <w:t>　</w:t>
      </w:r>
    </w:p>
    <w:p>
      <w:pPr>
        <w:keepNext w:val="0"/>
        <w:keepLines w:val="0"/>
        <w:pageBreakBefore w:val="0"/>
        <w:widowControl/>
        <w:kinsoku/>
        <w:wordWrap/>
        <w:overflowPunct/>
        <w:topLinePunct w:val="0"/>
        <w:autoSpaceDE w:val="0"/>
        <w:autoSpaceDN w:val="0"/>
        <w:bidi w:val="0"/>
        <w:adjustRightInd/>
        <w:snapToGrid/>
        <w:spacing w:line="500" w:lineRule="exact"/>
        <w:ind w:firstLine="480" w:firstLineChars="200"/>
        <w:jc w:val="right"/>
        <w:textAlignment w:val="auto"/>
        <w:rPr>
          <w:rFonts w:hint="default" w:asciiTheme="minorEastAsia" w:hAnsiTheme="minorEastAsia" w:eastAsiaTheme="minorEastAsia" w:cstheme="minorEastAsia"/>
          <w:b w:val="0"/>
          <w:bCs w:val="0"/>
          <w:kern w:val="0"/>
          <w:sz w:val="24"/>
          <w:szCs w:val="24"/>
          <w:highlight w:val="none"/>
          <w:u w:val="none"/>
          <w:lang w:val="en-US" w:eastAsia="zh-CN" w:bidi="zh-CN"/>
        </w:rPr>
        <w:sectPr>
          <w:headerReference r:id="rId6" w:type="default"/>
          <w:footerReference r:id="rId7" w:type="default"/>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bookmarkStart w:id="20" w:name="_Toc29412"/>
      <w:bookmarkStart w:id="21" w:name="_Toc5589"/>
      <w:bookmarkStart w:id="22" w:name="_Toc477625696"/>
      <w:r>
        <w:rPr>
          <w:rFonts w:hint="eastAsia" w:asciiTheme="minorEastAsia" w:hAnsiTheme="minorEastAsia" w:eastAsiaTheme="minorEastAsia" w:cstheme="minorEastAsia"/>
          <w:b w:val="0"/>
          <w:bCs w:val="0"/>
          <w:kern w:val="0"/>
          <w:sz w:val="24"/>
          <w:szCs w:val="24"/>
          <w:highlight w:val="none"/>
          <w:u w:val="none"/>
          <w:lang w:val="en-US" w:eastAsia="zh-CN" w:bidi="zh-CN"/>
        </w:rPr>
        <w:t xml:space="preserve">  </w:t>
      </w:r>
      <w:r>
        <w:rPr>
          <w:rFonts w:hint="eastAsia" w:asciiTheme="minorEastAsia" w:hAnsiTheme="minorEastAsia" w:eastAsiaTheme="minorEastAsia" w:cstheme="minorEastAsia"/>
          <w:b w:val="0"/>
          <w:bCs w:val="0"/>
          <w:kern w:val="0"/>
          <w:sz w:val="24"/>
          <w:szCs w:val="24"/>
          <w:highlight w:val="none"/>
          <w:u w:val="none"/>
          <w:lang w:bidi="zh-CN"/>
        </w:rPr>
        <w:t>湖北中楚建设工程咨询有限公司</w:t>
      </w:r>
    </w:p>
    <w:p>
      <w:pPr>
        <w:pStyle w:val="3"/>
        <w:spacing w:before="120" w:beforeLines="50" w:after="120" w:afterLines="50" w:line="360"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第二章 供应商须知</w:t>
      </w:r>
      <w:bookmarkEnd w:id="20"/>
      <w:bookmarkEnd w:id="21"/>
      <w:bookmarkEnd w:id="22"/>
    </w:p>
    <w:p>
      <w:pPr>
        <w:autoSpaceDE w:val="0"/>
        <w:autoSpaceDN w:val="0"/>
        <w:adjustRightInd w:val="0"/>
        <w:snapToGrid w:val="0"/>
        <w:spacing w:line="360" w:lineRule="auto"/>
        <w:jc w:val="center"/>
        <w:outlineLvl w:val="1"/>
        <w:rPr>
          <w:rFonts w:asciiTheme="minorEastAsia" w:hAnsiTheme="minorEastAsia" w:eastAsiaTheme="minorEastAsia" w:cstheme="minorEastAsia"/>
          <w:b/>
          <w:sz w:val="24"/>
          <w:szCs w:val="24"/>
          <w:lang w:val="zh-CN"/>
        </w:rPr>
      </w:pPr>
      <w:bookmarkStart w:id="23" w:name="_Toc22711"/>
      <w:bookmarkStart w:id="24" w:name="_Toc470172661"/>
      <w:r>
        <w:rPr>
          <w:rFonts w:hint="eastAsia" w:asciiTheme="minorEastAsia" w:hAnsiTheme="minorEastAsia" w:eastAsiaTheme="minorEastAsia" w:cstheme="minorEastAsia"/>
          <w:b/>
          <w:sz w:val="24"/>
          <w:szCs w:val="24"/>
        </w:rPr>
        <w:t>《供应商须知前附表》</w:t>
      </w:r>
      <w:bookmarkEnd w:id="23"/>
      <w:bookmarkEnd w:id="24"/>
    </w:p>
    <w:p>
      <w:pPr>
        <w:autoSpaceDE w:val="0"/>
        <w:autoSpaceDN w:val="0"/>
        <w:adjustRightInd w:val="0"/>
        <w:snapToGrid w:val="0"/>
        <w:spacing w:line="360" w:lineRule="auto"/>
        <w:ind w:firstLine="480" w:firstLineChars="200"/>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磋商供应商应仔细阅读本磋商文件的第二章“供应商须知”，下面所列资料是对“供应商须知”的具体补充和说明。</w:t>
      </w:r>
      <w:r>
        <w:rPr>
          <w:rFonts w:hint="eastAsia" w:asciiTheme="minorEastAsia" w:hAnsiTheme="minorEastAsia" w:eastAsiaTheme="minorEastAsia" w:cstheme="minorEastAsia"/>
          <w:sz w:val="24"/>
          <w:szCs w:val="24"/>
          <w:lang w:val="zh-CN"/>
        </w:rPr>
        <w:t>如有矛盾，应以本表为准。</w:t>
      </w:r>
    </w:p>
    <w:tbl>
      <w:tblPr>
        <w:tblStyle w:val="45"/>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03"/>
        <w:gridCol w:w="2078"/>
        <w:gridCol w:w="5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tblHeader/>
          <w:jc w:val="center"/>
        </w:trPr>
        <w:tc>
          <w:tcPr>
            <w:tcW w:w="803"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zh-CN"/>
              </w:rPr>
              <w:t>条款号</w:t>
            </w:r>
          </w:p>
        </w:tc>
        <w:tc>
          <w:tcPr>
            <w:tcW w:w="2078"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lang w:val="zh-CN"/>
              </w:rPr>
            </w:pPr>
            <w:r>
              <w:rPr>
                <w:rFonts w:hint="eastAsia" w:asciiTheme="minorEastAsia" w:hAnsiTheme="minorEastAsia" w:eastAsiaTheme="minorEastAsia" w:cstheme="minorEastAsia"/>
                <w:b/>
                <w:sz w:val="24"/>
                <w:szCs w:val="24"/>
                <w:lang w:val="zh-CN"/>
              </w:rPr>
              <w:t>条款名称</w:t>
            </w:r>
          </w:p>
        </w:tc>
        <w:tc>
          <w:tcPr>
            <w:tcW w:w="5963" w:type="dxa"/>
            <w:shd w:val="clear" w:color="auto" w:fill="F1F1F1"/>
            <w:vAlign w:val="center"/>
          </w:tcPr>
          <w:p>
            <w:pPr>
              <w:autoSpaceDE w:val="0"/>
              <w:autoSpaceDN w:val="0"/>
              <w:adjustRightInd w:val="0"/>
              <w:snapToGrid w:val="0"/>
              <w:spacing w:line="360" w:lineRule="auto"/>
              <w:ind w:left="21" w:leftChars="10" w:right="21" w:rightChars="10"/>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19"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2.1</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采购人</w:t>
            </w:r>
          </w:p>
        </w:tc>
        <w:tc>
          <w:tcPr>
            <w:tcW w:w="596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名 称：</w:t>
            </w:r>
            <w:r>
              <w:rPr>
                <w:rFonts w:hint="eastAsia" w:asciiTheme="minorEastAsia" w:hAnsiTheme="minorEastAsia" w:eastAsiaTheme="minorEastAsia" w:cstheme="minorEastAsia"/>
                <w:sz w:val="24"/>
                <w:szCs w:val="24"/>
                <w:lang w:val="en-US" w:eastAsia="zh-CN"/>
              </w:rPr>
              <w:t>武汉长江新区生态环境和水务湖泊局</w:t>
            </w:r>
            <w:r>
              <w:rPr>
                <w:rFonts w:hint="default" w:asciiTheme="minorEastAsia" w:hAnsiTheme="minorEastAsia" w:eastAsiaTheme="minorEastAsia" w:cstheme="minorEastAsia"/>
                <w:sz w:val="24"/>
                <w:szCs w:val="24"/>
                <w:lang w:val="en-US" w:eastAsia="zh-CN"/>
              </w:rPr>
              <w:t>　　　　　</w:t>
            </w:r>
          </w:p>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地址：武汉市黄陂区汉口北大道特9号　　　　　　　　</w:t>
            </w:r>
          </w:p>
          <w:p>
            <w:pPr>
              <w:pStyle w:val="40"/>
              <w:widowControl w:val="0"/>
              <w:autoSpaceDE w:val="0"/>
              <w:autoSpaceDN w:val="0"/>
              <w:adjustRightInd w:val="0"/>
              <w:spacing w:before="0" w:beforeAutospacing="0" w:after="0" w:afterAutospacing="0" w:line="360" w:lineRule="auto"/>
              <w:ind w:left="21" w:leftChars="10" w:right="21" w:rightChars="10"/>
              <w:jc w:val="both"/>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联系方式：</w:t>
            </w:r>
            <w:r>
              <w:rPr>
                <w:rFonts w:hint="eastAsia" w:asciiTheme="minorEastAsia" w:hAnsiTheme="minorEastAsia" w:eastAsiaTheme="minorEastAsia" w:cstheme="minorEastAsia"/>
                <w:b w:val="0"/>
                <w:bCs w:val="0"/>
                <w:kern w:val="0"/>
                <w:sz w:val="24"/>
                <w:szCs w:val="24"/>
                <w:highlight w:val="none"/>
                <w:u w:val="none"/>
                <w:lang w:val="en-US" w:bidi="zh-CN"/>
              </w:rPr>
              <w:t>吴科长、027-85998156</w:t>
            </w:r>
            <w:r>
              <w:rPr>
                <w:rFonts w:hint="default" w:asciiTheme="minorEastAsia" w:hAnsiTheme="minorEastAsia" w:eastAsiaTheme="minorEastAsia" w:cstheme="minorEastAsia"/>
                <w:sz w:val="24"/>
                <w:szCs w:val="24"/>
                <w:highlight w:val="none"/>
                <w:lang w:val="en-US"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监管部门</w:t>
            </w:r>
          </w:p>
        </w:tc>
        <w:tc>
          <w:tcPr>
            <w:tcW w:w="5963" w:type="dxa"/>
            <w:vAlign w:val="center"/>
          </w:tcPr>
          <w:p>
            <w:pPr>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bCs/>
                <w:sz w:val="24"/>
                <w:szCs w:val="24"/>
                <w:lang w:val="en-US" w:eastAsia="zh-CN"/>
              </w:rPr>
              <w:t>/</w:t>
            </w:r>
            <w:r>
              <w:rPr>
                <w:rFonts w:hint="eastAsia" w:asciiTheme="minorEastAsia" w:hAnsiTheme="minorEastAsia" w:eastAsiaTheme="minorEastAsia" w:cstheme="minorEastAsia"/>
                <w:sz w:val="24"/>
                <w:szCs w:val="24"/>
                <w:lang w:val="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采购代理机构</w:t>
            </w:r>
          </w:p>
        </w:tc>
        <w:tc>
          <w:tcPr>
            <w:tcW w:w="5963" w:type="dxa"/>
            <w:vAlign w:val="center"/>
          </w:tcPr>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名 称：湖北中楚建设工程咨询有限公司</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地 址：武汉市江汉区发展大道172号怡景商务大厦A座10楼</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 xml:space="preserve">电 话：027-85883144 </w:t>
            </w:r>
          </w:p>
          <w:p>
            <w:pPr>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传真：027-85875760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2.5</w:t>
            </w:r>
          </w:p>
        </w:tc>
        <w:tc>
          <w:tcPr>
            <w:tcW w:w="2078"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磋商供应商</w:t>
            </w:r>
          </w:p>
        </w:tc>
        <w:tc>
          <w:tcPr>
            <w:tcW w:w="5963" w:type="dxa"/>
            <w:vAlign w:val="center"/>
          </w:tcPr>
          <w:p>
            <w:pPr>
              <w:pStyle w:val="40"/>
              <w:widowControl w:val="0"/>
              <w:autoSpaceDE w:val="0"/>
              <w:autoSpaceDN w:val="0"/>
              <w:adjustRightInd w:val="0"/>
              <w:spacing w:before="0" w:beforeAutospacing="0" w:after="0" w:afterAutospacing="0" w:line="360" w:lineRule="auto"/>
              <w:ind w:right="21" w:rightChars="10"/>
              <w:jc w:val="both"/>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第一章第二条相关要求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4.2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采购代理服务费</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根据采购人和采购代理机构签署的委托代理协议书约定：</w:t>
            </w:r>
          </w:p>
          <w:p>
            <w:pPr>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1）采购代理服务费：</w:t>
            </w:r>
            <w:r>
              <w:rPr>
                <w:rFonts w:hint="eastAsia" w:asciiTheme="minorEastAsia" w:hAnsiTheme="minorEastAsia" w:eastAsiaTheme="minorEastAsia" w:cstheme="minorEastAsia"/>
                <w:b/>
                <w:bCs/>
                <w:sz w:val="24"/>
                <w:szCs w:val="24"/>
                <w:bdr w:val="single" w:color="auto" w:sz="4" w:space="0"/>
              </w:rPr>
              <w:t>√</w:t>
            </w:r>
            <w:r>
              <w:rPr>
                <w:rFonts w:hint="eastAsia" w:asciiTheme="minorEastAsia" w:hAnsiTheme="minorEastAsia" w:eastAsiaTheme="minorEastAsia" w:cstheme="minorEastAsia"/>
                <w:sz w:val="24"/>
                <w:szCs w:val="24"/>
              </w:rPr>
              <w:t>由成交供应商支付  □由采购人支付</w:t>
            </w:r>
          </w:p>
          <w:p>
            <w:pPr>
              <w:pStyle w:val="39"/>
              <w:widowControl/>
              <w:shd w:val="clear" w:color="auto" w:fill="FFFFFF"/>
              <w:spacing w:before="150" w:after="150" w:line="360" w:lineRule="auto"/>
              <w:rPr>
                <w:rFonts w:hint="default" w:asciiTheme="minorEastAsia" w:hAnsiTheme="minorEastAsia" w:eastAsiaTheme="minorEastAsia" w:cstheme="minorEastAsia"/>
                <w:sz w:val="24"/>
                <w:szCs w:val="24"/>
                <w:u w:val="single"/>
              </w:rPr>
            </w:pPr>
            <w:r>
              <w:rPr>
                <w:rFonts w:asciiTheme="minorEastAsia" w:hAnsiTheme="minorEastAsia" w:eastAsiaTheme="minorEastAsia" w:cstheme="minorEastAsia"/>
                <w:sz w:val="24"/>
                <w:szCs w:val="24"/>
              </w:rPr>
              <w:t>2）支付标准：参照国家计委计价格[2002]1980号、发改办价格[2003]857号规定标准收费，按</w:t>
            </w:r>
            <w:r>
              <w:rPr>
                <w:rFonts w:asciiTheme="minorEastAsia" w:hAnsiTheme="minorEastAsia" w:eastAsiaTheme="minorEastAsia" w:cstheme="minorEastAsia"/>
                <w:sz w:val="24"/>
                <w:szCs w:val="24"/>
              </w:rPr>
              <w:sym w:font="Wingdings 2" w:char="00A3"/>
            </w:r>
            <w:r>
              <w:rPr>
                <w:rFonts w:asciiTheme="minorEastAsia" w:hAnsiTheme="minorEastAsia" w:eastAsiaTheme="minorEastAsia" w:cstheme="minorEastAsia"/>
                <w:sz w:val="24"/>
                <w:szCs w:val="24"/>
              </w:rPr>
              <w:t>货物类</w:t>
            </w:r>
            <w:r>
              <w:rPr>
                <w:rFonts w:hint="eastAsia" w:asciiTheme="minorEastAsia" w:hAnsiTheme="minorEastAsia" w:eastAsiaTheme="minorEastAsia" w:cstheme="minorEastAsia"/>
                <w:kern w:val="2"/>
                <w:sz w:val="24"/>
                <w:szCs w:val="24"/>
                <w:lang w:eastAsia="zh-CN"/>
              </w:rPr>
              <w:t>☑</w:t>
            </w:r>
            <w:r>
              <w:rPr>
                <w:rFonts w:asciiTheme="minorEastAsia" w:hAnsiTheme="minorEastAsia" w:eastAsiaTheme="minorEastAsia" w:cstheme="minorEastAsia"/>
                <w:sz w:val="24"/>
                <w:szCs w:val="24"/>
              </w:rPr>
              <w:t>服务类</w:t>
            </w:r>
            <w:bookmarkStart w:id="349" w:name="_GoBack"/>
            <w:bookmarkEnd w:id="349"/>
            <w:r>
              <w:rPr>
                <w:rFonts w:hint="eastAsia" w:asciiTheme="minorEastAsia" w:hAnsiTheme="minorEastAsia" w:eastAsiaTheme="minorEastAsia" w:cstheme="minorEastAsia"/>
                <w:sz w:val="24"/>
                <w:szCs w:val="24"/>
                <w:lang w:eastAsia="zh-CN"/>
              </w:rPr>
              <w:t>□</w:t>
            </w:r>
            <w:r>
              <w:rPr>
                <w:rFonts w:asciiTheme="minorEastAsia" w:hAnsiTheme="minorEastAsia" w:eastAsiaTheme="minorEastAsia" w:cstheme="minorEastAsia"/>
                <w:sz w:val="24"/>
                <w:szCs w:val="24"/>
              </w:rPr>
              <w:t>工程类收取。</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3）支付时间：采购代理服务费由成交供应商在领取成交通知书的同时，向代理机构支付。</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4）支付方式：银行转账。</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5）银行账户信息</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支付方式：银行转账</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开户名称：湖北中楚建设工程咨询有限公司</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开户银行：武汉市农行新火车站支行（行号 833248） </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银行账号：1700 9101 0400 11071</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其他事项：成交供应商交纳采购代理服务费时需携带以下开票资料：1）开票单位名称、2）纳税人识别号（或统一社会信用代码）、3）营业执照或税务登记证地址、4）单位联系电话及联系人、5）开户行及账号。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27" w:hRule="atLeast"/>
          <w:jc w:val="center"/>
        </w:trPr>
        <w:tc>
          <w:tcPr>
            <w:tcW w:w="803" w:type="dxa"/>
            <w:vAlign w:val="center"/>
          </w:tcPr>
          <w:p>
            <w:pPr>
              <w:pStyle w:val="40"/>
              <w:widowControl w:val="0"/>
              <w:autoSpaceDE w:val="0"/>
              <w:autoSpaceDN w:val="0"/>
              <w:adjustRightInd w:val="0"/>
              <w:snapToGri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6.3</w:t>
            </w:r>
          </w:p>
        </w:tc>
        <w:tc>
          <w:tcPr>
            <w:tcW w:w="2078" w:type="dxa"/>
            <w:vAlign w:val="center"/>
          </w:tcPr>
          <w:p>
            <w:pPr>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供应商确认收到</w:t>
            </w:r>
            <w:r>
              <w:rPr>
                <w:rFonts w:hint="eastAsia" w:asciiTheme="minorEastAsia" w:hAnsiTheme="minorEastAsia" w:eastAsiaTheme="minorEastAsia" w:cstheme="minorEastAsia"/>
                <w:sz w:val="24"/>
                <w:szCs w:val="24"/>
                <w:lang w:val="en-US" w:eastAsia="zh-CN"/>
              </w:rPr>
              <w:t>磋商</w:t>
            </w:r>
            <w:r>
              <w:rPr>
                <w:rFonts w:hint="eastAsia" w:asciiTheme="minorEastAsia" w:hAnsiTheme="minorEastAsia" w:eastAsiaTheme="minorEastAsia" w:cstheme="minorEastAsia"/>
                <w:sz w:val="24"/>
                <w:szCs w:val="24"/>
              </w:rPr>
              <w:t>文件澄清或者修改的时间</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在收到相应修改文件后</w:t>
            </w:r>
            <w:r>
              <w:rPr>
                <w:rFonts w:hint="eastAsia" w:asciiTheme="minorEastAsia" w:hAnsiTheme="minorEastAsia" w:eastAsiaTheme="minorEastAsia" w:cstheme="minorEastAsia"/>
                <w:sz w:val="24"/>
                <w:szCs w:val="24"/>
                <w:u w:val="single"/>
              </w:rPr>
              <w:t>24</w:t>
            </w:r>
            <w:r>
              <w:rPr>
                <w:rFonts w:hint="eastAsia" w:asciiTheme="minorEastAsia" w:hAnsiTheme="minorEastAsia" w:eastAsiaTheme="minorEastAsia" w:cstheme="minorEastAsia"/>
                <w:sz w:val="24"/>
                <w:szCs w:val="24"/>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napToGri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7.1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踏勘现场</w:t>
            </w:r>
          </w:p>
        </w:tc>
        <w:tc>
          <w:tcPr>
            <w:tcW w:w="5963" w:type="dxa"/>
            <w:vAlign w:val="center"/>
          </w:tcPr>
          <w:p>
            <w:pPr>
              <w:pStyle w:val="39"/>
              <w:widowControl/>
              <w:shd w:val="clear" w:color="auto" w:fill="FFFFFF"/>
              <w:spacing w:before="150" w:after="150" w:line="360" w:lineRule="auto"/>
              <w:rPr>
                <w:rFonts w:hint="default" w:asciiTheme="minorEastAsia" w:hAnsiTheme="minorEastAsia" w:eastAsiaTheme="minorEastAsia" w:cstheme="minorEastAsia"/>
                <w:kern w:val="2"/>
                <w:sz w:val="24"/>
                <w:szCs w:val="24"/>
              </w:rPr>
            </w:pPr>
            <w:r>
              <w:rPr>
                <w:rFonts w:asciiTheme="minorEastAsia" w:hAnsiTheme="minorEastAsia" w:eastAsiaTheme="minorEastAsia" w:cstheme="minorEastAsia"/>
                <w:kern w:val="2"/>
                <w:sz w:val="24"/>
                <w:szCs w:val="24"/>
              </w:rPr>
              <w:t>☑不组织，供应商自行踏勘</w:t>
            </w:r>
          </w:p>
          <w:p>
            <w:pPr>
              <w:pStyle w:val="55"/>
              <w:snapToGrid w:val="0"/>
              <w:spacing w:line="360" w:lineRule="auto"/>
              <w:rPr>
                <w:rFonts w:hint="default" w:asciiTheme="minorEastAsia" w:hAnsiTheme="minorEastAsia" w:eastAsiaTheme="minorEastAsia" w:cstheme="minorEastAsia"/>
                <w:color w:val="auto"/>
                <w:kern w:val="2"/>
                <w:sz w:val="24"/>
                <w:szCs w:val="24"/>
              </w:rPr>
            </w:pPr>
            <w:r>
              <w:rPr>
                <w:rFonts w:asciiTheme="minorEastAsia" w:hAnsiTheme="minorEastAsia" w:eastAsiaTheme="minorEastAsia" w:cstheme="minorEastAsia"/>
                <w:color w:val="auto"/>
                <w:kern w:val="2"/>
                <w:sz w:val="24"/>
                <w:szCs w:val="24"/>
              </w:rPr>
              <w:t>□组织，踏勘时间：/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对多包采购的规定</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第一章第一条相关要求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12.1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备选方案</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□接受备选方案    ☑不接受备选方案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13.1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联合体磋商</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sym w:font="Wingdings 2" w:char="00A3"/>
            </w:r>
            <w:r>
              <w:rPr>
                <w:rFonts w:hint="eastAsia" w:asciiTheme="minorEastAsia" w:hAnsiTheme="minorEastAsia" w:eastAsiaTheme="minorEastAsia" w:cstheme="minorEastAsia"/>
                <w:sz w:val="24"/>
                <w:szCs w:val="24"/>
                <w:lang w:val="zh-CN"/>
              </w:rPr>
              <w:t xml:space="preserve">接受联合体      </w:t>
            </w:r>
            <w:r>
              <w:rPr>
                <w:rFonts w:hint="eastAsia" w:asciiTheme="minorEastAsia" w:hAnsiTheme="minorEastAsia" w:eastAsiaTheme="minorEastAsia" w:cstheme="minorEastAsia"/>
                <w:sz w:val="24"/>
                <w:szCs w:val="24"/>
                <w:lang w:val="zh-CN"/>
              </w:rPr>
              <w:sym w:font="Wingdings 2" w:char="0052"/>
            </w:r>
            <w:r>
              <w:rPr>
                <w:rFonts w:hint="eastAsia" w:asciiTheme="minorEastAsia" w:hAnsiTheme="minorEastAsia" w:eastAsiaTheme="minorEastAsia" w:cstheme="minorEastAsia"/>
                <w:sz w:val="24"/>
                <w:szCs w:val="24"/>
                <w:lang w:val="zh-CN"/>
              </w:rPr>
              <w:t>不接受联合体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资格证明文件</w:t>
            </w:r>
          </w:p>
        </w:tc>
        <w:tc>
          <w:tcPr>
            <w:tcW w:w="5963" w:type="dxa"/>
            <w:vAlign w:val="center"/>
          </w:tcPr>
          <w:p>
            <w:pPr>
              <w:spacing w:line="360" w:lineRule="auto"/>
              <w:ind w:right="21" w:rightChars="1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详</w:t>
            </w:r>
            <w:r>
              <w:rPr>
                <w:rFonts w:hint="eastAsia" w:asciiTheme="minorEastAsia" w:hAnsiTheme="minorEastAsia" w:eastAsiaTheme="minorEastAsia" w:cstheme="minorEastAsia"/>
                <w:sz w:val="24"/>
                <w:szCs w:val="24"/>
                <w:lang w:val="zh-CN"/>
              </w:rPr>
              <w:t>见第六章“资格证明文件”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3" w:hRule="atLeast"/>
          <w:jc w:val="center"/>
        </w:trPr>
        <w:tc>
          <w:tcPr>
            <w:tcW w:w="803"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其它资格证明文件</w:t>
            </w:r>
          </w:p>
        </w:tc>
        <w:tc>
          <w:tcPr>
            <w:tcW w:w="5963" w:type="dxa"/>
            <w:vAlign w:val="center"/>
          </w:tcPr>
          <w:p>
            <w:pPr>
              <w:spacing w:line="360" w:lineRule="auto"/>
              <w:ind w:right="21" w:rightChars="10"/>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 xml:space="preserve">☑无    </w:t>
            </w:r>
          </w:p>
          <w:p>
            <w:pPr>
              <w:spacing w:line="360" w:lineRule="auto"/>
              <w:ind w:right="21" w:rightChars="1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lang w:val="zh-CN"/>
              </w:rPr>
              <w:t>□有；具体为：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15.1</w:t>
            </w:r>
          </w:p>
        </w:tc>
        <w:tc>
          <w:tcPr>
            <w:tcW w:w="2078" w:type="dxa"/>
            <w:vAlign w:val="center"/>
          </w:tcPr>
          <w:p>
            <w:pPr>
              <w:autoSpaceDE w:val="0"/>
              <w:autoSpaceDN w:val="0"/>
              <w:adjustRightIn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证明响应内容符合磋商文件要求的文件和磋商文件规定的其他资料</w:t>
            </w:r>
          </w:p>
        </w:tc>
        <w:tc>
          <w:tcPr>
            <w:tcW w:w="5963" w:type="dxa"/>
            <w:vAlign w:val="center"/>
          </w:tcPr>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证明满足磋商文件第三章中</w:t>
            </w:r>
            <w:r>
              <w:rPr>
                <w:rFonts w:hint="eastAsia" w:asciiTheme="minorEastAsia" w:hAnsiTheme="minorEastAsia" w:eastAsiaTheme="minorEastAsia" w:cstheme="minorEastAsia"/>
                <w:kern w:val="0"/>
                <w:sz w:val="24"/>
                <w:szCs w:val="24"/>
              </w:rPr>
              <w:t>技术要求及商务要求的所有相关规定的</w:t>
            </w:r>
            <w:r>
              <w:rPr>
                <w:rFonts w:hint="eastAsia" w:asciiTheme="minorEastAsia" w:hAnsiTheme="minorEastAsia" w:eastAsiaTheme="minorEastAsia" w:cstheme="minorEastAsia"/>
                <w:sz w:val="24"/>
                <w:szCs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16.1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highlight w:val="none"/>
                <w:lang w:val="zh-CN"/>
              </w:rPr>
            </w:pPr>
            <w:r>
              <w:rPr>
                <w:rFonts w:hint="eastAsia" w:asciiTheme="minorEastAsia" w:hAnsiTheme="minorEastAsia" w:eastAsiaTheme="minorEastAsia" w:cstheme="minorEastAsia"/>
                <w:snapToGrid w:val="0"/>
                <w:kern w:val="0"/>
                <w:sz w:val="24"/>
                <w:szCs w:val="24"/>
                <w:highlight w:val="none"/>
                <w:lang w:val="zh-CN"/>
              </w:rPr>
              <w:t>磋商保证金</w:t>
            </w:r>
          </w:p>
        </w:tc>
        <w:tc>
          <w:tcPr>
            <w:tcW w:w="5963" w:type="dxa"/>
            <w:vAlign w:val="center"/>
          </w:tcPr>
          <w:p>
            <w:pPr>
              <w:autoSpaceDE w:val="0"/>
              <w:autoSpaceDN w:val="0"/>
              <w:snapToGrid w:val="0"/>
              <w:spacing w:line="360" w:lineRule="auto"/>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lang w:val="zh-CN"/>
              </w:rPr>
              <w:t>根据省人民政府关于进一步优化营商环境的若干意见（鄂政发〔2018〕26号）第十四条规定不收取投标保证金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16.5</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highlight w:val="none"/>
                <w:lang w:val="zh-CN"/>
              </w:rPr>
            </w:pPr>
            <w:r>
              <w:rPr>
                <w:rFonts w:hint="eastAsia" w:asciiTheme="minorEastAsia" w:hAnsiTheme="minorEastAsia" w:eastAsiaTheme="minorEastAsia" w:cstheme="minorEastAsia"/>
                <w:snapToGrid w:val="0"/>
                <w:kern w:val="0"/>
                <w:sz w:val="24"/>
                <w:szCs w:val="24"/>
                <w:highlight w:val="none"/>
                <w:lang w:val="zh-CN"/>
              </w:rPr>
              <w:t>磋商保证金的退还</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17.1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响应文件有效期</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napToGrid w:val="0"/>
                <w:kern w:val="0"/>
                <w:sz w:val="24"/>
                <w:szCs w:val="24"/>
                <w:u w:val="single"/>
              </w:rPr>
              <w:t>90</w:t>
            </w:r>
            <w:r>
              <w:rPr>
                <w:rFonts w:hint="eastAsia" w:asciiTheme="minorEastAsia" w:hAnsiTheme="minorEastAsia" w:eastAsiaTheme="minorEastAsia" w:cstheme="minorEastAsia"/>
                <w:snapToGrid w:val="0"/>
                <w:kern w:val="0"/>
                <w:sz w:val="24"/>
                <w:szCs w:val="24"/>
                <w:lang w:val="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pStyle w:val="40"/>
              <w:widowControl w:val="0"/>
              <w:autoSpaceDE w:val="0"/>
              <w:autoSpaceDN w:val="0"/>
              <w:adjustRightInd w:val="0"/>
              <w:spacing w:before="0" w:beforeAutospacing="0" w:after="0" w:afterAutospacing="0" w:line="360" w:lineRule="auto"/>
              <w:ind w:left="21" w:leftChars="10" w:right="21" w:rightChars="10"/>
              <w:jc w:val="center"/>
              <w:rPr>
                <w:rFonts w:asciiTheme="minorEastAsia" w:hAnsiTheme="minorEastAsia" w:eastAsiaTheme="minorEastAsia" w:cstheme="minorEastAsia"/>
                <w:kern w:val="2"/>
                <w:sz w:val="24"/>
                <w:szCs w:val="24"/>
                <w:lang w:val="zh-CN"/>
              </w:rPr>
            </w:pPr>
            <w:r>
              <w:rPr>
                <w:rFonts w:hint="eastAsia" w:asciiTheme="minorEastAsia" w:hAnsiTheme="minorEastAsia" w:eastAsiaTheme="minorEastAsia" w:cstheme="minorEastAsia"/>
                <w:kern w:val="2"/>
                <w:sz w:val="24"/>
                <w:szCs w:val="24"/>
                <w:lang w:val="zh-CN"/>
              </w:rPr>
              <w:t>18.1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竞争性磋商响应文件正、副本数量</w:t>
            </w:r>
          </w:p>
        </w:tc>
        <w:tc>
          <w:tcPr>
            <w:tcW w:w="5963" w:type="dxa"/>
            <w:vAlign w:val="center"/>
          </w:tcPr>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投标文件正本</w:t>
            </w:r>
            <w:r>
              <w:rPr>
                <w:rFonts w:hint="eastAsia" w:asciiTheme="minorEastAsia" w:hAnsiTheme="minorEastAsia" w:eastAsiaTheme="minorEastAsia" w:cstheme="minorEastAsia"/>
                <w:sz w:val="24"/>
                <w:szCs w:val="24"/>
                <w:lang w:val="en-US" w:eastAsia="zh-CN"/>
              </w:rPr>
              <w:t>壹</w:t>
            </w:r>
            <w:r>
              <w:rPr>
                <w:rFonts w:hint="eastAsia" w:asciiTheme="minorEastAsia" w:hAnsiTheme="minorEastAsia" w:eastAsiaTheme="minorEastAsia" w:cstheme="minorEastAsia"/>
                <w:sz w:val="24"/>
                <w:szCs w:val="24"/>
                <w:lang w:val="zh-CN"/>
              </w:rPr>
              <w:t>份，副本</w:t>
            </w:r>
            <w:r>
              <w:rPr>
                <w:rFonts w:hint="eastAsia" w:asciiTheme="minorEastAsia" w:hAnsiTheme="minorEastAsia" w:eastAsiaTheme="minorEastAsia" w:cstheme="minorEastAsia"/>
                <w:sz w:val="24"/>
                <w:szCs w:val="24"/>
                <w:lang w:val="en-US" w:eastAsia="zh-CN"/>
              </w:rPr>
              <w:t>贰</w:t>
            </w:r>
            <w:r>
              <w:rPr>
                <w:rFonts w:hint="eastAsia" w:asciiTheme="minorEastAsia" w:hAnsiTheme="minorEastAsia" w:eastAsiaTheme="minorEastAsia" w:cstheme="minorEastAsia"/>
                <w:sz w:val="24"/>
                <w:szCs w:val="24"/>
                <w:lang w:val="zh-CN"/>
              </w:rPr>
              <w:t>份，电子文档一份。</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响应文件正、副本内容应该一致，当正、副本不一致时，以正本为准；当电子版响应文件与纸质版响应文件不一致时，以纸质版为准。</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备注：响应文件应按以下要求装订：</w:t>
            </w:r>
          </w:p>
          <w:p>
            <w:pPr>
              <w:autoSpaceDE w:val="0"/>
              <w:autoSpaceDN w:val="0"/>
              <w:snapToGrid w:val="0"/>
              <w:spacing w:line="360" w:lineRule="auto"/>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1.响应文件采用胶粘方式装订，装订应牢固、不易拆散和换页，不得采用活页装订。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样品</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提交及退还样品的相关规定：无</w:t>
            </w:r>
            <w:r>
              <w:rPr>
                <w:rFonts w:hint="eastAsia" w:asciiTheme="minorEastAsia" w:hAnsiTheme="minorEastAsia" w:eastAsiaTheme="minorEastAsia" w:cstheme="minorEastAsia"/>
                <w:spacing w:val="-6"/>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highlight w:val="none"/>
                <w:lang w:val="zh-CN"/>
              </w:rPr>
              <w:t>磋商</w:t>
            </w:r>
            <w:r>
              <w:rPr>
                <w:rFonts w:hint="eastAsia" w:asciiTheme="minorEastAsia" w:hAnsiTheme="minorEastAsia" w:eastAsiaTheme="minorEastAsia" w:cstheme="minorEastAsia"/>
                <w:snapToGrid w:val="0"/>
                <w:kern w:val="0"/>
                <w:sz w:val="24"/>
                <w:szCs w:val="24"/>
                <w:lang w:val="zh-CN"/>
              </w:rPr>
              <w:t>响应文件送达地点及递交截止时间</w:t>
            </w:r>
          </w:p>
        </w:tc>
        <w:tc>
          <w:tcPr>
            <w:tcW w:w="5963" w:type="dxa"/>
            <w:vAlign w:val="center"/>
          </w:tcPr>
          <w:p>
            <w:pPr>
              <w:autoSpaceDE w:val="0"/>
              <w:autoSpaceDN w:val="0"/>
              <w:adjustRightInd w:val="0"/>
              <w:snapToGrid w:val="0"/>
              <w:spacing w:line="360" w:lineRule="auto"/>
              <w:ind w:right="21" w:rightChars="1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详见</w:t>
            </w:r>
            <w:r>
              <w:rPr>
                <w:rFonts w:hint="eastAsia" w:asciiTheme="minorEastAsia" w:hAnsiTheme="minorEastAsia" w:eastAsiaTheme="minorEastAsia" w:cstheme="minorEastAsia"/>
                <w:sz w:val="24"/>
                <w:szCs w:val="24"/>
              </w:rPr>
              <w:t>第一章《竞争性磋商公告》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highlight w:val="none"/>
                <w:lang w:val="zh-CN"/>
              </w:rPr>
              <w:t>磋商</w:t>
            </w:r>
            <w:r>
              <w:rPr>
                <w:rFonts w:hint="eastAsia" w:asciiTheme="minorEastAsia" w:hAnsiTheme="minorEastAsia" w:eastAsiaTheme="minorEastAsia" w:cstheme="minorEastAsia"/>
                <w:snapToGrid w:val="0"/>
                <w:kern w:val="0"/>
                <w:sz w:val="24"/>
                <w:szCs w:val="24"/>
                <w:lang w:val="zh-CN"/>
              </w:rPr>
              <w:t>小组人数</w:t>
            </w:r>
          </w:p>
        </w:tc>
        <w:tc>
          <w:tcPr>
            <w:tcW w:w="5963" w:type="dxa"/>
            <w:vAlign w:val="center"/>
          </w:tcPr>
          <w:p>
            <w:pPr>
              <w:spacing w:line="360" w:lineRule="auto"/>
              <w:rPr>
                <w:rFonts w:asciiTheme="minorEastAsia" w:hAnsiTheme="minorEastAsia" w:eastAsiaTheme="minorEastAsia" w:cstheme="minorEastAsia"/>
                <w:snapToGrid w:val="0"/>
                <w:kern w:val="0"/>
                <w:sz w:val="24"/>
                <w:szCs w:val="24"/>
              </w:rPr>
            </w:pPr>
            <w:r>
              <w:rPr>
                <w:rFonts w:ascii="宋体" w:hAnsi="宋体"/>
                <w:sz w:val="24"/>
                <w:highlight w:val="none"/>
              </w:rPr>
              <w:t>本</w:t>
            </w:r>
            <w:r>
              <w:rPr>
                <w:rFonts w:hint="eastAsia" w:ascii="宋体" w:hAnsi="宋体"/>
                <w:sz w:val="24"/>
                <w:highlight w:val="none"/>
              </w:rPr>
              <w:t>项目</w:t>
            </w:r>
            <w:r>
              <w:rPr>
                <w:rFonts w:ascii="宋体" w:hAnsi="宋体"/>
                <w:sz w:val="24"/>
                <w:highlight w:val="none"/>
              </w:rPr>
              <w:t>评标委员会由</w:t>
            </w:r>
            <w:r>
              <w:rPr>
                <w:rFonts w:hint="eastAsia" w:ascii="宋体" w:hAnsi="宋体"/>
                <w:sz w:val="24"/>
                <w:highlight w:val="none"/>
              </w:rPr>
              <w:t>3人</w:t>
            </w:r>
            <w:r>
              <w:rPr>
                <w:rFonts w:ascii="宋体" w:hAnsi="宋体"/>
                <w:sz w:val="24"/>
                <w:highlight w:val="none"/>
              </w:rPr>
              <w:t>组成，</w:t>
            </w:r>
            <w:r>
              <w:rPr>
                <w:rFonts w:hint="eastAsia" w:ascii="宋体" w:hAnsi="宋体"/>
                <w:sz w:val="24"/>
                <w:highlight w:val="none"/>
                <w:lang w:val="en-US" w:eastAsia="zh-CN"/>
              </w:rPr>
              <w:t>从</w:t>
            </w:r>
            <w:r>
              <w:rPr>
                <w:rFonts w:hint="eastAsia" w:ascii="宋体" w:hAnsi="宋体"/>
                <w:sz w:val="24"/>
                <w:highlight w:val="none"/>
              </w:rPr>
              <w:t>湖北</w:t>
            </w:r>
            <w:r>
              <w:rPr>
                <w:rFonts w:hint="eastAsia" w:ascii="宋体" w:hAnsi="宋体"/>
                <w:sz w:val="24"/>
                <w:highlight w:val="none"/>
                <w:lang w:val="en-US" w:eastAsia="zh-CN"/>
              </w:rPr>
              <w:t>中楚建设工程咨询有限公司</w:t>
            </w:r>
            <w:r>
              <w:rPr>
                <w:rFonts w:ascii="宋体" w:hAnsi="宋体"/>
                <w:sz w:val="24"/>
                <w:highlight w:val="none"/>
              </w:rPr>
              <w:t>专家管理系统中随机抽取评标专家</w:t>
            </w:r>
            <w:r>
              <w:rPr>
                <w:rFonts w:hint="eastAsia" w:ascii="宋体" w:hAnsi="宋体"/>
                <w:sz w:val="24"/>
                <w:highlight w:val="none"/>
                <w:u w:val="single"/>
                <w:lang w:val="en-US" w:eastAsia="zh-CN"/>
              </w:rPr>
              <w:t xml:space="preserve"> 3</w:t>
            </w:r>
            <w:r>
              <w:rPr>
                <w:rFonts w:ascii="宋体" w:hAnsi="宋体"/>
                <w:sz w:val="24"/>
                <w:highlight w:val="none"/>
              </w:rPr>
              <w:t>名</w:t>
            </w:r>
            <w:r>
              <w:rPr>
                <w:rFonts w:hint="eastAsia" w:ascii="宋体" w:hAnsi="宋体"/>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评审专家的产生</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lang w:val="zh-CN"/>
              </w:rPr>
              <w:t>湖北</w:t>
            </w:r>
            <w:r>
              <w:rPr>
                <w:rFonts w:hint="eastAsia" w:asciiTheme="minorEastAsia" w:hAnsiTheme="minorEastAsia" w:eastAsiaTheme="minorEastAsia" w:cstheme="minorEastAsia"/>
                <w:sz w:val="24"/>
                <w:szCs w:val="24"/>
                <w:lang w:val="en-US" w:eastAsia="zh-CN"/>
              </w:rPr>
              <w:t>中楚建设工程咨询有限公司</w:t>
            </w:r>
            <w:r>
              <w:rPr>
                <w:rFonts w:hint="eastAsia" w:asciiTheme="minorEastAsia" w:hAnsiTheme="minorEastAsia" w:eastAsiaTheme="minorEastAsia" w:cstheme="minorEastAsia"/>
                <w:sz w:val="24"/>
                <w:szCs w:val="24"/>
                <w:lang w:val="zh-CN"/>
              </w:rPr>
              <w:t>专家库中随机抽取</w:t>
            </w:r>
          </w:p>
          <w:p>
            <w:pPr>
              <w:autoSpaceDE w:val="0"/>
              <w:autoSpaceDN w:val="0"/>
              <w:adjustRightInd w:val="0"/>
              <w:spacing w:line="360" w:lineRule="auto"/>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z w:val="24"/>
                <w:szCs w:val="24"/>
                <w:lang w:val="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确定提交最后报价供应商的方式</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lang w:val="zh-CN"/>
              </w:rPr>
              <w:t>本项目按照</w:t>
            </w:r>
            <w:r>
              <w:rPr>
                <w:rFonts w:hint="eastAsia" w:asciiTheme="minorEastAsia" w:hAnsiTheme="minorEastAsia" w:eastAsiaTheme="minorEastAsia" w:cstheme="minorEastAsia"/>
                <w:snapToGrid w:val="0"/>
                <w:kern w:val="0"/>
                <w:sz w:val="24"/>
                <w:szCs w:val="24"/>
                <w:lang w:val="zh-CN"/>
              </w:rPr>
              <w:t>第（1）条规定确定提交最后报价供应商</w:t>
            </w:r>
          </w:p>
          <w:p>
            <w:pPr>
              <w:autoSpaceDE w:val="0"/>
              <w:autoSpaceDN w:val="0"/>
              <w:adjustRightInd w:val="0"/>
              <w:spacing w:line="360" w:lineRule="auto"/>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z w:val="24"/>
                <w:szCs w:val="24"/>
                <w:lang w:val="zh-CN"/>
              </w:rPr>
              <w:t>□本项目适用</w:t>
            </w:r>
            <w:r>
              <w:rPr>
                <w:rFonts w:hint="eastAsia" w:asciiTheme="minorEastAsia" w:hAnsiTheme="minorEastAsia" w:eastAsiaTheme="minorEastAsia" w:cstheme="minorEastAsia"/>
                <w:snapToGrid w:val="0"/>
                <w:kern w:val="0"/>
                <w:sz w:val="24"/>
                <w:szCs w:val="24"/>
                <w:lang w:val="zh-CN"/>
              </w:rPr>
              <w:t>第（2）条规定确定提交最后报价供应商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27.2</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推荐成交候选供应商数量</w:t>
            </w:r>
          </w:p>
        </w:tc>
        <w:tc>
          <w:tcPr>
            <w:tcW w:w="5963" w:type="dxa"/>
            <w:vAlign w:val="center"/>
          </w:tcPr>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本项目推荐3名成交候选供应商。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32"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28.4</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成交通知书的领取时间</w:t>
            </w:r>
          </w:p>
        </w:tc>
        <w:tc>
          <w:tcPr>
            <w:tcW w:w="5963" w:type="dxa"/>
            <w:vAlign w:val="center"/>
          </w:tcPr>
          <w:p>
            <w:pPr>
              <w:spacing w:line="360" w:lineRule="auto"/>
              <w:rPr>
                <w:rFonts w:asciiTheme="minorEastAsia" w:hAnsiTheme="minorEastAsia" w:eastAsiaTheme="minorEastAsia" w:cstheme="minorEastAsia"/>
                <w:sz w:val="24"/>
                <w:szCs w:val="24"/>
                <w:bdr w:val="single" w:color="auto" w:sz="4" w:space="0"/>
              </w:rPr>
            </w:pPr>
            <w:r>
              <w:rPr>
                <w:rFonts w:hint="eastAsia" w:asciiTheme="minorEastAsia" w:hAnsiTheme="minorEastAsia" w:eastAsiaTheme="minorEastAsia" w:cstheme="minorEastAsia"/>
                <w:sz w:val="24"/>
                <w:szCs w:val="24"/>
              </w:rPr>
              <w:t>成交通知书与成交结果公告同时发出，成交供应商在成交结果公告发布以后即可领取。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29.1</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履约保证金</w:t>
            </w:r>
          </w:p>
        </w:tc>
        <w:tc>
          <w:tcPr>
            <w:tcW w:w="5963" w:type="dxa"/>
            <w:vAlign w:val="center"/>
          </w:tcPr>
          <w:p>
            <w:pPr>
              <w:tabs>
                <w:tab w:val="left" w:pos="1260"/>
              </w:tabs>
              <w:snapToGrid w:val="0"/>
              <w:spacing w:line="360" w:lineRule="auto"/>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□有</w:t>
            </w:r>
          </w:p>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bdr w:val="single" w:color="auto" w:sz="4" w:space="0"/>
              </w:rPr>
              <w:t>√</w:t>
            </w:r>
            <w:r>
              <w:rPr>
                <w:rFonts w:hint="eastAsia" w:asciiTheme="minorEastAsia" w:hAnsiTheme="minorEastAsia" w:eastAsiaTheme="minorEastAsia" w:cstheme="minorEastAsia"/>
                <w:sz w:val="24"/>
                <w:szCs w:val="24"/>
              </w:rPr>
              <w:t>无</w:t>
            </w:r>
          </w:p>
          <w:p>
            <w:pPr>
              <w:tabs>
                <w:tab w:val="left" w:pos="1260"/>
              </w:tabs>
              <w:snapToGrid w:val="0"/>
              <w:spacing w:line="360" w:lineRule="auto"/>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履约担保金额：/</w:t>
            </w:r>
          </w:p>
          <w:p>
            <w:pPr>
              <w:autoSpaceDE w:val="0"/>
              <w:autoSpaceDN w:val="0"/>
              <w:adjustRightInd w:val="0"/>
              <w:snapToGrid w:val="0"/>
              <w:spacing w:line="360" w:lineRule="auto"/>
              <w:ind w:right="21" w:rightChars="10"/>
              <w:jc w:val="left"/>
              <w:rPr>
                <w:rFonts w:asciiTheme="minorEastAsia" w:hAnsiTheme="minorEastAsia" w:eastAsiaTheme="minorEastAsia" w:cstheme="minorEastAsia"/>
                <w:color w:val="FF0000"/>
                <w:sz w:val="24"/>
                <w:szCs w:val="24"/>
                <w:highlight w:val="yellow"/>
              </w:rPr>
            </w:pPr>
            <w:r>
              <w:rPr>
                <w:rFonts w:hint="eastAsia" w:asciiTheme="minorEastAsia" w:hAnsiTheme="minorEastAsia" w:eastAsiaTheme="minorEastAsia" w:cstheme="minorEastAsia"/>
                <w:sz w:val="24"/>
                <w:szCs w:val="24"/>
                <w:highlight w:val="none"/>
              </w:rPr>
              <w:t>履约担保形式：支票、汇票、本票或者金融机构、担保机构出具的保函等非现金形式提交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质疑期</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供应商认为磋商文件、磋商过程和成交结果使自己的权益受到损害的，可以在知道或者应知其权益受到损害之日起7个工作日内，以书面形式向采购人或采购代理机构提出质疑。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质疑回复</w:t>
            </w:r>
          </w:p>
        </w:tc>
        <w:tc>
          <w:tcPr>
            <w:tcW w:w="5963" w:type="dxa"/>
            <w:vAlign w:val="center"/>
          </w:tcPr>
          <w:p>
            <w:pPr>
              <w:tabs>
                <w:tab w:val="left" w:pos="1260"/>
              </w:tabs>
              <w:snapToGrid w:val="0"/>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采购人或采购代理机构应当在收到供应商的书面质疑后7个工作日内作出答复，并以书面形式通知质疑供应商和其他有关供应商，但答复的内容不得涉及商业秘密。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是否接受进口产品</w:t>
            </w:r>
          </w:p>
        </w:tc>
        <w:tc>
          <w:tcPr>
            <w:tcW w:w="5963" w:type="dxa"/>
            <w:vAlign w:val="center"/>
          </w:tcPr>
          <w:p>
            <w:pPr>
              <w:pStyle w:val="15"/>
              <w:topLinePunct/>
              <w:snapToGrid w:val="0"/>
              <w:spacing w:line="360" w:lineRule="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□接  受</w:t>
            </w:r>
          </w:p>
          <w:p>
            <w:pPr>
              <w:pStyle w:val="15"/>
              <w:topLinePunct/>
              <w:snapToGrid w:val="0"/>
              <w:spacing w:line="360" w:lineRule="auto"/>
              <w:rPr>
                <w:rFonts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bdr w:val="single" w:color="auto" w:sz="4" w:space="0"/>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33.2</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sz w:val="24"/>
              </w:rPr>
              <w:t>是否专门面向中小微企业</w:t>
            </w:r>
          </w:p>
        </w:tc>
        <w:tc>
          <w:tcPr>
            <w:tcW w:w="5963" w:type="dxa"/>
            <w:vAlign w:val="center"/>
          </w:tcPr>
          <w:p>
            <w:pPr>
              <w:pStyle w:val="167"/>
              <w:spacing w:before="64" w:line="360" w:lineRule="auto"/>
              <w:ind w:left="116"/>
              <w:jc w:val="both"/>
              <w:rPr>
                <w:sz w:val="24"/>
              </w:rPr>
            </w:pPr>
            <w:r>
              <w:rPr>
                <w:sz w:val="24"/>
              </w:rPr>
              <w:sym w:font="Wingdings 2" w:char="0052"/>
            </w:r>
            <w:r>
              <w:rPr>
                <w:sz w:val="24"/>
              </w:rPr>
              <w:t>是:专门面向中小微企业采购的项目或者采购包，不再执行《政府采购促进中小企业发展管理办法》（财库〔2020〕46 号）中针对于中小微企业价格评审优惠的扶持政策。</w:t>
            </w:r>
          </w:p>
          <w:p>
            <w:pPr>
              <w:pStyle w:val="167"/>
              <w:spacing w:before="61" w:line="360" w:lineRule="auto"/>
              <w:ind w:left="116"/>
              <w:jc w:val="both"/>
              <w:rPr>
                <w:sz w:val="24"/>
              </w:rPr>
            </w:pPr>
            <w:r>
              <w:rPr>
                <w:rFonts w:hint="eastAsia" w:ascii="MS UI Gothic" w:hAnsi="MS UI Gothic" w:eastAsia="宋体"/>
                <w:sz w:val="24"/>
                <w:lang w:eastAsia="zh-CN"/>
              </w:rPr>
              <w:t>□</w:t>
            </w:r>
            <w:r>
              <w:rPr>
                <w:sz w:val="24"/>
              </w:rPr>
              <w:t>否:非专门面向中小微企业采购的项目，按照《政府采购促进中小企业发展管理办法》（财库〔2020〕46 号）中针对于中小微企业执行价格评审优惠的扶持政策。</w:t>
            </w:r>
          </w:p>
          <w:p>
            <w:pPr>
              <w:spacing w:line="360" w:lineRule="auto"/>
              <w:jc w:val="both"/>
              <w:rPr>
                <w:rFonts w:hint="eastAsia" w:ascii="宋体" w:hAnsi="宋体" w:eastAsia="宋体" w:cs="宋体"/>
                <w:kern w:val="0"/>
                <w:sz w:val="24"/>
                <w:szCs w:val="22"/>
                <w:lang w:val="zh-CN" w:eastAsia="zh-CN" w:bidi="zh-CN"/>
              </w:rPr>
            </w:pPr>
            <w:r>
              <w:rPr>
                <w:rFonts w:hint="eastAsia" w:ascii="宋体" w:hAnsi="宋体" w:eastAsia="宋体" w:cs="宋体"/>
                <w:kern w:val="0"/>
                <w:sz w:val="24"/>
                <w:szCs w:val="22"/>
                <w:lang w:val="en-US" w:eastAsia="zh-CN" w:bidi="zh-CN"/>
              </w:rPr>
              <w:t>1、</w:t>
            </w:r>
            <w:r>
              <w:rPr>
                <w:rFonts w:hint="eastAsia" w:ascii="宋体" w:hAnsi="宋体" w:eastAsia="宋体" w:cs="宋体"/>
                <w:kern w:val="0"/>
                <w:sz w:val="24"/>
                <w:szCs w:val="22"/>
                <w:lang w:val="zh-CN" w:eastAsia="zh-CN" w:bidi="zh-CN"/>
              </w:rPr>
              <w:t>对符合规定的小微企业报价给予</w:t>
            </w:r>
            <w:r>
              <w:rPr>
                <w:rFonts w:hint="eastAsia" w:ascii="宋体" w:hAnsi="宋体" w:cs="宋体"/>
                <w:kern w:val="0"/>
                <w:sz w:val="24"/>
                <w:szCs w:val="22"/>
                <w:lang w:val="en-US" w:eastAsia="zh-CN" w:bidi="zh-CN"/>
              </w:rPr>
              <w:t>10</w:t>
            </w:r>
            <w:r>
              <w:rPr>
                <w:rFonts w:hint="eastAsia" w:ascii="宋体" w:hAnsi="宋体" w:eastAsia="宋体" w:cs="宋体"/>
                <w:kern w:val="0"/>
                <w:sz w:val="24"/>
                <w:szCs w:val="22"/>
                <w:lang w:val="zh-CN" w:eastAsia="zh-CN" w:bidi="zh-CN"/>
              </w:rPr>
              <w:t>%的扣除，用扣除后的价格参与评审。</w:t>
            </w:r>
          </w:p>
          <w:p>
            <w:pPr>
              <w:spacing w:line="360" w:lineRule="auto"/>
              <w:jc w:val="both"/>
              <w:rPr>
                <w:rFonts w:hint="default" w:ascii="宋体" w:hAnsi="宋体" w:eastAsia="宋体" w:cs="宋体"/>
                <w:kern w:val="0"/>
                <w:sz w:val="24"/>
                <w:szCs w:val="22"/>
                <w:lang w:val="en-US" w:eastAsia="zh-CN" w:bidi="zh-CN"/>
              </w:rPr>
            </w:pPr>
            <w:r>
              <w:rPr>
                <w:rFonts w:hint="eastAsia" w:ascii="宋体" w:hAnsi="宋体" w:eastAsia="宋体" w:cs="宋体"/>
                <w:kern w:val="0"/>
                <w:sz w:val="24"/>
                <w:szCs w:val="22"/>
                <w:lang w:val="en-US" w:eastAsia="zh-CN" w:bidi="zh-CN"/>
              </w:rPr>
              <w:t>2、</w:t>
            </w:r>
            <w:r>
              <w:rPr>
                <w:rFonts w:hint="eastAsia" w:ascii="宋体" w:hAnsi="宋体" w:eastAsia="宋体" w:cs="宋体"/>
                <w:kern w:val="0"/>
                <w:sz w:val="24"/>
                <w:szCs w:val="22"/>
                <w:lang w:val="en-US" w:eastAsia="zh-CN" w:bidi="zh-CN"/>
              </w:rPr>
              <w:sym w:font="Wingdings 2" w:char="00A3"/>
            </w:r>
            <w:r>
              <w:rPr>
                <w:rFonts w:hint="eastAsia" w:ascii="宋体" w:hAnsi="宋体" w:eastAsia="宋体" w:cs="宋体"/>
                <w:kern w:val="0"/>
                <w:sz w:val="24"/>
                <w:szCs w:val="22"/>
                <w:lang w:val="en-US" w:eastAsia="zh-CN" w:bidi="zh-CN"/>
              </w:rPr>
              <w:t xml:space="preserve">接受联合体    </w:t>
            </w:r>
            <w:r>
              <w:rPr>
                <w:rFonts w:hint="eastAsia" w:ascii="宋体" w:hAnsi="宋体" w:eastAsia="宋体" w:cs="宋体"/>
                <w:kern w:val="0"/>
                <w:sz w:val="24"/>
                <w:szCs w:val="22"/>
                <w:lang w:val="en-US" w:eastAsia="zh-CN" w:bidi="zh-CN"/>
              </w:rPr>
              <w:sym w:font="Wingdings 2" w:char="0052"/>
            </w:r>
            <w:r>
              <w:rPr>
                <w:rFonts w:hint="eastAsia" w:ascii="宋体" w:hAnsi="宋体" w:eastAsia="宋体" w:cs="宋体"/>
                <w:kern w:val="0"/>
                <w:sz w:val="24"/>
                <w:szCs w:val="22"/>
                <w:lang w:val="en-US" w:eastAsia="zh-CN" w:bidi="zh-CN"/>
              </w:rPr>
              <w:t>不接受</w:t>
            </w:r>
            <w:r>
              <w:rPr>
                <w:rFonts w:hint="eastAsia" w:ascii="宋体" w:hAnsi="宋体" w:cs="宋体"/>
                <w:kern w:val="0"/>
                <w:sz w:val="24"/>
                <w:szCs w:val="22"/>
                <w:lang w:val="en-US" w:eastAsia="zh-CN" w:bidi="zh-CN"/>
              </w:rPr>
              <w:t>联合体</w:t>
            </w:r>
          </w:p>
          <w:p>
            <w:pPr>
              <w:spacing w:line="360" w:lineRule="auto"/>
              <w:jc w:val="both"/>
              <w:rPr>
                <w:rFonts w:hint="eastAsia" w:ascii="宋体" w:hAnsi="宋体" w:cs="宋体"/>
                <w:kern w:val="0"/>
                <w:sz w:val="24"/>
                <w:szCs w:val="22"/>
                <w:lang w:val="en-US" w:eastAsia="zh-CN" w:bidi="zh-CN"/>
              </w:rPr>
            </w:pPr>
            <w:r>
              <w:rPr>
                <w:rFonts w:hint="eastAsia" w:ascii="宋体" w:hAnsi="宋体" w:eastAsia="宋体" w:cs="宋体"/>
                <w:kern w:val="0"/>
                <w:sz w:val="24"/>
                <w:szCs w:val="22"/>
                <w:lang w:val="zh-CN" w:eastAsia="zh-CN" w:bidi="zh-CN"/>
              </w:rPr>
              <w:t xml:space="preserve">大中型企业与小微企业组成联合体或者允许大中型企业向一家或者多家小微企业分包的采购项目，对于联合协议或者分包意向协议约定小微企业的合同份额占到合同总金额 </w:t>
            </w:r>
            <w:r>
              <w:rPr>
                <w:rFonts w:hint="eastAsia" w:ascii="宋体" w:hAnsi="宋体" w:cs="宋体"/>
                <w:kern w:val="0"/>
                <w:sz w:val="24"/>
                <w:szCs w:val="22"/>
                <w:lang w:val="en-US" w:eastAsia="zh-CN" w:bidi="zh-CN"/>
              </w:rPr>
              <w:t>3</w:t>
            </w:r>
            <w:r>
              <w:rPr>
                <w:rFonts w:hint="eastAsia" w:ascii="宋体" w:hAnsi="宋体" w:eastAsia="宋体" w:cs="宋体"/>
                <w:kern w:val="0"/>
                <w:sz w:val="24"/>
                <w:szCs w:val="22"/>
                <w:lang w:val="zh-CN" w:eastAsia="zh-CN" w:bidi="zh-CN"/>
              </w:rPr>
              <w:t>0%以上的，采购人、采购代理机构应当对联合体或者大中型企业的报价给予</w:t>
            </w:r>
            <w:r>
              <w:rPr>
                <w:rFonts w:hint="eastAsia" w:ascii="宋体" w:hAnsi="宋体" w:cs="宋体"/>
                <w:kern w:val="0"/>
                <w:sz w:val="24"/>
                <w:szCs w:val="22"/>
                <w:u w:val="single"/>
                <w:lang w:val="en-US" w:eastAsia="zh-CN" w:bidi="zh-CN"/>
              </w:rPr>
              <w:t>4</w:t>
            </w:r>
            <w:r>
              <w:rPr>
                <w:rFonts w:hint="eastAsia" w:ascii="宋体" w:hAnsi="宋体" w:eastAsia="宋体" w:cs="宋体"/>
                <w:kern w:val="0"/>
                <w:sz w:val="24"/>
                <w:szCs w:val="22"/>
                <w:u w:val="single"/>
                <w:lang w:val="zh-CN" w:eastAsia="zh-CN" w:bidi="zh-CN"/>
              </w:rPr>
              <w:t>%</w:t>
            </w:r>
            <w:r>
              <w:rPr>
                <w:rFonts w:hint="eastAsia" w:ascii="宋体" w:hAnsi="宋体" w:eastAsia="宋体" w:cs="宋体"/>
                <w:kern w:val="0"/>
                <w:sz w:val="24"/>
                <w:szCs w:val="22"/>
                <w:lang w:val="zh-CN" w:eastAsia="zh-CN" w:bidi="zh-CN"/>
              </w:rPr>
              <w:t>的价格扣除，用扣除后的价格参与评审。</w:t>
            </w:r>
            <w:r>
              <w:rPr>
                <w:rFonts w:hint="eastAsia" w:ascii="宋体" w:hAnsi="宋体" w:cs="宋体"/>
                <w:kern w:val="0"/>
                <w:sz w:val="24"/>
                <w:szCs w:val="22"/>
                <w:lang w:val="en-US" w:eastAsia="zh-CN" w:bidi="zh-CN"/>
              </w:rPr>
              <w:t xml:space="preserve">根据《财政部 工业和信息化部关于印发《政府采购促进中小企业发展管理办法》的通知（财库〔2020〕46号）》和《关于落实稳住经济一揽子政策 </w:t>
            </w:r>
          </w:p>
          <w:p>
            <w:pPr>
              <w:spacing w:line="360" w:lineRule="auto"/>
              <w:jc w:val="both"/>
              <w:rPr>
                <w:rFonts w:hint="default" w:ascii="宋体" w:hAnsi="宋体" w:eastAsia="宋体" w:cs="宋体"/>
                <w:kern w:val="0"/>
                <w:sz w:val="24"/>
                <w:szCs w:val="22"/>
                <w:lang w:val="en-US" w:eastAsia="zh-CN" w:bidi="zh-CN"/>
              </w:rPr>
            </w:pPr>
            <w:r>
              <w:rPr>
                <w:rFonts w:hint="eastAsia" w:ascii="宋体" w:hAnsi="宋体" w:cs="宋体"/>
                <w:kern w:val="0"/>
                <w:sz w:val="24"/>
                <w:szCs w:val="22"/>
                <w:lang w:val="en-US" w:eastAsia="zh-CN" w:bidi="zh-CN"/>
              </w:rPr>
              <w:t>进一步加大政府采购支持中小企业力度的通知》（鄂财采发〔2022〕5 号 ）通知。</w:t>
            </w:r>
          </w:p>
          <w:p>
            <w:pPr>
              <w:pStyle w:val="167"/>
              <w:spacing w:before="161" w:line="360" w:lineRule="auto"/>
              <w:ind w:right="76"/>
              <w:jc w:val="both"/>
              <w:rPr>
                <w:rFonts w:hint="eastAsia" w:ascii="宋体" w:hAnsi="宋体" w:eastAsia="宋体" w:cs="宋体"/>
                <w:kern w:val="0"/>
                <w:sz w:val="24"/>
                <w:szCs w:val="22"/>
                <w:lang w:val="zh-CN" w:eastAsia="zh-CN" w:bidi="zh-CN"/>
              </w:rPr>
            </w:pPr>
            <w:r>
              <w:rPr>
                <w:rFonts w:hint="eastAsia" w:ascii="宋体" w:hAnsi="宋体" w:eastAsia="宋体" w:cs="宋体"/>
                <w:kern w:val="0"/>
                <w:sz w:val="24"/>
                <w:szCs w:val="22"/>
                <w:lang w:val="en-US" w:eastAsia="zh-CN" w:bidi="zh-CN"/>
              </w:rPr>
              <w:t>3、</w:t>
            </w:r>
            <w:r>
              <w:rPr>
                <w:rFonts w:hint="eastAsia" w:ascii="宋体" w:hAnsi="宋体" w:eastAsia="宋体" w:cs="宋体"/>
                <w:kern w:val="0"/>
                <w:sz w:val="24"/>
                <w:szCs w:val="22"/>
                <w:lang w:val="zh-CN" w:eastAsia="zh-CN" w:bidi="zh-CN"/>
              </w:rPr>
              <w:t xml:space="preserve">小微企业不得将合同分包给大中型企业，中型企业不得将合同分包给大型企业； </w:t>
            </w:r>
          </w:p>
          <w:p>
            <w:pPr>
              <w:snapToGrid w:val="0"/>
              <w:spacing w:line="360" w:lineRule="auto"/>
              <w:rPr>
                <w:rFonts w:asciiTheme="minorEastAsia" w:hAnsiTheme="minorEastAsia" w:eastAsiaTheme="minorEastAsia" w:cstheme="minorEastAsia"/>
                <w:sz w:val="24"/>
                <w:szCs w:val="24"/>
              </w:rPr>
            </w:pPr>
            <w:r>
              <w:rPr>
                <w:rFonts w:hint="eastAsia" w:ascii="宋体" w:hAnsi="宋体" w:eastAsia="宋体" w:cs="宋体"/>
                <w:kern w:val="0"/>
                <w:sz w:val="24"/>
                <w:szCs w:val="22"/>
                <w:lang w:val="en-US" w:eastAsia="zh-CN" w:bidi="zh-CN"/>
              </w:rPr>
              <w:t>4、</w:t>
            </w:r>
            <w:r>
              <w:rPr>
                <w:rFonts w:hint="eastAsia" w:ascii="宋体" w:hAnsi="宋体" w:eastAsia="宋体" w:cs="宋体"/>
                <w:kern w:val="0"/>
                <w:sz w:val="24"/>
                <w:szCs w:val="22"/>
                <w:lang w:val="zh-CN" w:eastAsia="zh-CN" w:bidi="zh-CN"/>
              </w:rPr>
              <w:t xml:space="preserve">根据工业和信息化部国家统计局国家发展和改革委员会财政部《中小企业划型标准规定》（工信部联企业〔2011〕300 号）的规定，本项目采购标的对应的中小企业划分标准所属行为 </w:t>
            </w:r>
            <w:r>
              <w:rPr>
                <w:rFonts w:hint="eastAsia" w:ascii="宋体" w:hAnsi="宋体" w:cs="宋体"/>
                <w:b/>
                <w:bCs/>
                <w:kern w:val="0"/>
                <w:sz w:val="24"/>
                <w:szCs w:val="22"/>
                <w:u w:val="single"/>
                <w:lang w:val="en-US" w:eastAsia="zh-CN" w:bidi="zh-CN"/>
              </w:rPr>
              <w:t>其他未列明行业</w:t>
            </w:r>
            <w:r>
              <w:rPr>
                <w:rFonts w:hint="eastAsia" w:ascii="宋体" w:hAnsi="宋体" w:eastAsia="宋体" w:cs="宋体"/>
                <w:b/>
                <w:bCs/>
                <w:kern w:val="0"/>
                <w:sz w:val="24"/>
                <w:szCs w:val="22"/>
                <w:lang w:val="zh-CN" w:eastAsia="zh-CN" w:bidi="zh-CN"/>
              </w:rPr>
              <w:t xml:space="preserve"> </w:t>
            </w:r>
            <w:r>
              <w:rPr>
                <w:rFonts w:hint="eastAsia" w:ascii="宋体" w:hAnsi="宋体" w:eastAsia="宋体" w:cs="宋体"/>
                <w:kern w:val="0"/>
                <w:sz w:val="24"/>
                <w:szCs w:val="22"/>
                <w:lang w:val="zh-CN" w:eastAsia="zh-CN" w:bidi="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72"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33.3</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采购节能产品政策</w:t>
            </w:r>
          </w:p>
        </w:tc>
        <w:tc>
          <w:tcPr>
            <w:tcW w:w="5963" w:type="dxa"/>
            <w:vAlign w:val="center"/>
          </w:tcPr>
          <w:p>
            <w:pPr>
              <w:snapToGrid w:val="0"/>
              <w:spacing w:line="360" w:lineRule="auto"/>
              <w:ind w:firstLine="410" w:firstLineChars="17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据财库[2019]19号文的规定，投标产品为《节能产品政府采购品目清单》强制性采购内容的，须提供国家确定的认证机构出具的、处于有效期内的节能产品认证证书或中国政府采购网节能产品查询截图，未提供的视为无效响应（认证证书或查询截图的产品型号与所投产品不一致的，视为未提供）；投标产品为《节能产品政府采购品目清单》非强制性采购内容的，提供国家确定的认证机构出具的节能产品认证证书或中国政府采购网节能产品查询截图（认证证书或查询截图的产品型号与所投产品不一致的，视为未提供）。</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拟采购的产品属于品目清单范围的，采购人及其委托的采购代理机构应当依据国家确定的认证机构出具的、处于有效期之内的节能产品认证证书，对获得证书的产品实施政府优先采购或强制采购，具体优先采购的方式在采购文件中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33.4</w:t>
            </w:r>
          </w:p>
        </w:tc>
        <w:tc>
          <w:tcPr>
            <w:tcW w:w="2078" w:type="dxa"/>
            <w:vAlign w:val="center"/>
          </w:tcPr>
          <w:p>
            <w:pPr>
              <w:autoSpaceDE w:val="0"/>
              <w:autoSpaceDN w:val="0"/>
              <w:snapToGrid w:val="0"/>
              <w:spacing w:line="360" w:lineRule="auto"/>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采购环保产品政策</w:t>
            </w:r>
          </w:p>
        </w:tc>
        <w:tc>
          <w:tcPr>
            <w:tcW w:w="5963" w:type="dxa"/>
            <w:vAlign w:val="center"/>
          </w:tcPr>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据财库[2019]18号文的规定，投标产品为《环保标志产品政府采购品目清单》内容的，须提供国家确定的认证机构出具的环境标志产品认证证书或中国政府采购网环境标志产品查询截图（认证证书或查询截图的产品型号与所投产品不一致的，视为未提供）。</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拟采购的产品属于品目清单范围的，采购人及其委托的采购代理机构应当依据国家确定的认证机构出具的、处于有效期之内的环境标志产品认证证书，对获得证书的产品实施政府优先采购或强制采购，具体优先采购的方式在采购文件中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w:t>
            </w:r>
          </w:p>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合同融资政策</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缓解中小企业融资困难、助力中小企业健康发展，政府采购中标（成交）供应商可根据自身经营情况自行决定是否融资，自愿选择试点金融机构、融资方式。具体政策要求可登录武汉政府采购信息发布系统（http://27.17.40.162：8000）查看《关于印发&lt;武汉市政府采购合同线上信用融资业务实施意见（试行）&gt;的通知》（武银营[2019]55号）。相关金融机构融资方案，供应商可登录武汉政府采购信息发布系统的“合同信用融资”板块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w:t>
            </w:r>
          </w:p>
        </w:tc>
        <w:tc>
          <w:tcPr>
            <w:tcW w:w="2078" w:type="dxa"/>
            <w:vAlign w:val="center"/>
          </w:tcPr>
          <w:p>
            <w:pPr>
              <w:autoSpaceDE w:val="0"/>
              <w:autoSpaceDN w:val="0"/>
              <w:adjustRightInd w:val="0"/>
              <w:spacing w:line="360" w:lineRule="auto"/>
              <w:ind w:left="21" w:leftChars="10" w:right="21" w:rightChars="10"/>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zh-CN"/>
              </w:rPr>
              <w:t>解释权</w:t>
            </w:r>
          </w:p>
        </w:tc>
        <w:tc>
          <w:tcPr>
            <w:tcW w:w="5963" w:type="dxa"/>
            <w:vAlign w:val="center"/>
          </w:tcPr>
          <w:p>
            <w:pPr>
              <w:autoSpaceDE w:val="0"/>
              <w:autoSpaceDN w:val="0"/>
              <w:adjustRightInd w:val="0"/>
              <w:spacing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构成本</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的各个组成文件应互为解释，互为说明；如有不明确或不一致，构成合同文件组成内容的，以合同文件约定内容为准，且以专用合同条款约定的合同文件优先顺序解释；除竞争性</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中有特别规定外，按招标公告（采购邀请） 、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 由采购人或代理机构负责解释。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4" w:hRule="atLeast"/>
          <w:jc w:val="center"/>
        </w:trPr>
        <w:tc>
          <w:tcPr>
            <w:tcW w:w="803" w:type="dxa"/>
            <w:vAlign w:val="center"/>
          </w:tcPr>
          <w:p>
            <w:pPr>
              <w:autoSpaceDE w:val="0"/>
              <w:autoSpaceDN w:val="0"/>
              <w:adjustRightInd w:val="0"/>
              <w:spacing w:line="360" w:lineRule="auto"/>
              <w:ind w:left="21" w:leftChars="10" w:right="21" w:rightChars="1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十一</w:t>
            </w:r>
          </w:p>
        </w:tc>
        <w:tc>
          <w:tcPr>
            <w:tcW w:w="2078" w:type="dxa"/>
            <w:vAlign w:val="center"/>
          </w:tcPr>
          <w:p>
            <w:pPr>
              <w:autoSpaceDE w:val="0"/>
              <w:autoSpaceDN w:val="0"/>
              <w:adjustRightInd w:val="0"/>
              <w:spacing w:line="360" w:lineRule="auto"/>
              <w:ind w:left="21" w:leftChars="10" w:right="21" w:rightChars="10"/>
              <w:jc w:val="center"/>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rPr>
              <w:t>其他补充事项</w:t>
            </w:r>
          </w:p>
        </w:tc>
        <w:tc>
          <w:tcPr>
            <w:tcW w:w="5963" w:type="dxa"/>
            <w:vAlign w:val="center"/>
          </w:tcPr>
          <w:p>
            <w:pPr>
              <w:autoSpaceDE w:val="0"/>
              <w:autoSpaceDN w:val="0"/>
              <w:adjustRightIn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除本磋商文件另有规定外，磋商文件中出现的类似于“近三年”或“前三年”、“近五年”或“前五年”均指递交响应文件时间以前3年或前5年，以此类推。如：递交响应文件时间为2017年3月1日，则“近三年”是指2014年3月1日至2017年3月1日。</w:t>
            </w:r>
          </w:p>
          <w:p>
            <w:pPr>
              <w:autoSpaceDE w:val="0"/>
              <w:autoSpaceDN w:val="0"/>
              <w:adjustRightInd w:val="0"/>
              <w:spacing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2、关于提交财务审计报告的年份要求：递交响应文件时间如在当年6月30日以前，则近三年指上上个年度往前推算的三年，如递交响应文件时间为2017年3月1日，则“近三年”是指2013年度、2014年度、2015年度。</w:t>
            </w:r>
          </w:p>
          <w:p>
            <w:pPr>
              <w:autoSpaceDE w:val="0"/>
              <w:autoSpaceDN w:val="0"/>
              <w:adjustRightInd w:val="0"/>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highlight w:val="none"/>
              </w:rPr>
              <w:t xml:space="preserve">   递交响应文件时间如在当年6月30日以后，则近三年是指上个年度往前推算的3年，如递交响应文件时间为2017年7月1日，则“近三年”是指2014年度、2015年度、2016年度。</w:t>
            </w:r>
          </w:p>
        </w:tc>
      </w:tr>
    </w:tbl>
    <w:p>
      <w:pPr>
        <w:spacing w:line="360" w:lineRule="auto"/>
        <w:jc w:val="center"/>
        <w:outlineLvl w:val="1"/>
        <w:rPr>
          <w:rFonts w:hint="eastAsia" w:asciiTheme="minorEastAsia" w:hAnsiTheme="minorEastAsia" w:eastAsiaTheme="minorEastAsia" w:cstheme="minorEastAsia"/>
          <w:b/>
          <w:sz w:val="24"/>
          <w:szCs w:val="24"/>
        </w:rPr>
        <w:sectPr>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bookmarkStart w:id="25" w:name="_Toc22204"/>
      <w:bookmarkStart w:id="26" w:name="_Toc470172662"/>
    </w:p>
    <w:p>
      <w:pPr>
        <w:spacing w:line="360" w:lineRule="auto"/>
        <w:jc w:val="center"/>
        <w:outlineLvl w:val="1"/>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供应商须知</w:t>
      </w:r>
      <w:bookmarkEnd w:id="25"/>
      <w:bookmarkEnd w:id="26"/>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27" w:name="_Toc470172663"/>
      <w:bookmarkStart w:id="28" w:name="_Toc24673"/>
      <w:r>
        <w:rPr>
          <w:rFonts w:hint="eastAsia" w:asciiTheme="minorEastAsia" w:hAnsiTheme="minorEastAsia" w:eastAsiaTheme="minorEastAsia" w:cstheme="minorEastAsia"/>
          <w:b/>
          <w:sz w:val="24"/>
          <w:szCs w:val="24"/>
        </w:rPr>
        <w:t>总则</w:t>
      </w:r>
      <w:bookmarkEnd w:id="27"/>
      <w:bookmarkEnd w:id="28"/>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29" w:name="_Toc470172664"/>
      <w:bookmarkStart w:id="30" w:name="_Toc16838"/>
      <w:bookmarkStart w:id="31" w:name="_Toc27243"/>
      <w:r>
        <w:rPr>
          <w:rFonts w:hint="eastAsia" w:asciiTheme="minorEastAsia" w:hAnsiTheme="minorEastAsia" w:eastAsiaTheme="minorEastAsia" w:cstheme="minorEastAsia"/>
          <w:b/>
          <w:sz w:val="24"/>
          <w:szCs w:val="24"/>
        </w:rPr>
        <w:t>适用范围</w:t>
      </w:r>
      <w:bookmarkEnd w:id="29"/>
      <w:bookmarkEnd w:id="30"/>
      <w:bookmarkEnd w:id="3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1.1本竞争性磋商文件仅适用于本次竞争性磋商中所述项目的采购活动。</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2" w:name="_Toc470172665"/>
      <w:bookmarkStart w:id="33" w:name="_Toc17991"/>
      <w:bookmarkStart w:id="34" w:name="_Toc30547"/>
      <w:r>
        <w:rPr>
          <w:rFonts w:hint="eastAsia" w:asciiTheme="minorEastAsia" w:hAnsiTheme="minorEastAsia" w:eastAsiaTheme="minorEastAsia" w:cstheme="minorEastAsia"/>
          <w:b/>
          <w:sz w:val="24"/>
          <w:szCs w:val="24"/>
        </w:rPr>
        <w:t>定义</w:t>
      </w:r>
      <w:bookmarkEnd w:id="32"/>
      <w:bookmarkEnd w:id="33"/>
      <w:bookmarkEnd w:id="3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2.1“采购人”：本次磋商的采购人见《供应商须知前附表》。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2.2“监管部门”：本次磋商的监管部门见《供应商须知前附表》。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2.3“采购代理机构”：本次磋商的采购代理机构见《供应商须知前附表》。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2.4“供应商”是指获取本磋商文件的法人、其他组织或者自然人。</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2.5“磋商供应商”是指</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（1）符合具备《中华人民共和国政府采购法》第二十二条规定的条件；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（2）符合《供应商须知前附表》的相应条件；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（3）通过竞争性磋商采购评定办法中初步审核的供应商。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rPr>
      </w:pPr>
      <w:r>
        <w:rPr>
          <w:rFonts w:hint="eastAsia" w:asciiTheme="minorEastAsia" w:hAnsiTheme="minorEastAsia" w:eastAsiaTheme="minorEastAsia" w:cstheme="minorEastAsia"/>
          <w:snapToGrid w:val="0"/>
          <w:kern w:val="0"/>
          <w:sz w:val="24"/>
          <w:szCs w:val="24"/>
        </w:rPr>
        <w:t xml:space="preserve"> “成交供应商” 是指经磋商小组评审推荐，采购人授予合同的供应商。</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5" w:name="_Toc5026"/>
      <w:bookmarkStart w:id="36" w:name="_Toc30503"/>
      <w:bookmarkStart w:id="37" w:name="_Toc470172666"/>
      <w:r>
        <w:rPr>
          <w:rFonts w:hint="eastAsia" w:asciiTheme="minorEastAsia" w:hAnsiTheme="minorEastAsia" w:eastAsiaTheme="minorEastAsia" w:cstheme="minorEastAsia"/>
          <w:b/>
          <w:snapToGrid w:val="0"/>
          <w:kern w:val="0"/>
          <w:sz w:val="24"/>
          <w:szCs w:val="24"/>
          <w:lang w:val="zh-CN"/>
        </w:rPr>
        <w:t>工程、货物及服务</w:t>
      </w:r>
      <w:bookmarkEnd w:id="35"/>
      <w:bookmarkEnd w:id="36"/>
      <w:bookmarkEnd w:id="3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rPr>
        <w:t>3.1</w:t>
      </w:r>
      <w:r>
        <w:rPr>
          <w:rFonts w:hint="eastAsia" w:asciiTheme="minorEastAsia" w:hAnsiTheme="minorEastAsia" w:eastAsiaTheme="minorEastAsia" w:cstheme="minorEastAsia"/>
          <w:snapToGrid w:val="0"/>
          <w:kern w:val="0"/>
          <w:sz w:val="24"/>
          <w:szCs w:val="24"/>
          <w:lang w:val="zh-CN"/>
        </w:rPr>
        <w:t>“工程”是指建设工程，包括建筑物和构筑物的新建、改建、扩建及其相关的装修、拆除、修缮等。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3.2“货物”是指各种形态和种类的物品，包括原材料、燃料、设备、产品等。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3.3“服务”是指是指除货物（指各种形态和种类的物品，包括原材料、燃料、设备、产品等）和工程（指建设工程，包括建筑物和构筑物的新建、改建、扩建及其相关的装修、拆除、修缮等）以外的其他政府采购对象。</w:t>
      </w:r>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38" w:name="_Toc470172667"/>
      <w:bookmarkStart w:id="39" w:name="_Toc23590"/>
      <w:bookmarkStart w:id="40" w:name="_Toc9974"/>
      <w:r>
        <w:rPr>
          <w:rFonts w:hint="eastAsia" w:asciiTheme="minorEastAsia" w:hAnsiTheme="minorEastAsia" w:eastAsiaTheme="minorEastAsia" w:cstheme="minorEastAsia"/>
          <w:b/>
          <w:sz w:val="24"/>
          <w:szCs w:val="24"/>
        </w:rPr>
        <w:t>费用</w:t>
      </w:r>
      <w:bookmarkEnd w:id="38"/>
      <w:bookmarkEnd w:id="39"/>
      <w:bookmarkEnd w:id="4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4.1供应商应承担所有与准备和参加磋商有关的费用，不论磋商的结果如何，采购人和采购代理机构均无义务和责任承担这些费用。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4.2成交服务费：成交供应商须在收到成交通知书时向采购代理机构支付成交服务费。服务费支付标准和方法详见《供应商须知前附表》。</w:t>
      </w:r>
    </w:p>
    <w:p>
      <w:pPr>
        <w:snapToGrid w:val="0"/>
        <w:spacing w:line="360" w:lineRule="auto"/>
        <w:ind w:firstLine="480" w:firstLineChars="200"/>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4.3国家计委计价格[2002]1980号规定标准收费：</w:t>
      </w:r>
    </w:p>
    <w:tbl>
      <w:tblPr>
        <w:tblStyle w:val="45"/>
        <w:tblW w:w="8100" w:type="dxa"/>
        <w:jc w:val="center"/>
        <w:tblLayout w:type="fixed"/>
        <w:tblCellMar>
          <w:top w:w="0" w:type="dxa"/>
          <w:left w:w="0" w:type="dxa"/>
          <w:bottom w:w="0" w:type="dxa"/>
          <w:right w:w="0" w:type="dxa"/>
        </w:tblCellMar>
      </w:tblPr>
      <w:tblGrid>
        <w:gridCol w:w="2116"/>
        <w:gridCol w:w="2024"/>
        <w:gridCol w:w="1800"/>
        <w:gridCol w:w="2160"/>
      </w:tblGrid>
      <w:tr>
        <w:tblPrEx>
          <w:tblCellMar>
            <w:top w:w="0" w:type="dxa"/>
            <w:left w:w="0" w:type="dxa"/>
            <w:bottom w:w="0" w:type="dxa"/>
            <w:right w:w="0" w:type="dxa"/>
          </w:tblCellMar>
        </w:tblPrEx>
        <w:trPr>
          <w:trHeight w:val="340" w:hRule="atLeast"/>
          <w:tblHeader/>
          <w:jc w:val="center"/>
        </w:trPr>
        <w:tc>
          <w:tcPr>
            <w:tcW w:w="2116" w:type="dxa"/>
            <w:tcBorders>
              <w:top w:val="single" w:color="auto" w:sz="4"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中标金额（万元）</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货物招标</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服务招标</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kern w:val="0"/>
                <w:sz w:val="24"/>
                <w:szCs w:val="24"/>
              </w:rPr>
              <w:t>工程招标</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100以下</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lOO-500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1.1%</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0.8%</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0.7%</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500-1000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0.8%</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0.45%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0.55%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l000—5000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0.35%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5000-lOOOO</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0.1%</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0.2%</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lOOOO-100000</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0.05%</w:t>
            </w:r>
          </w:p>
        </w:tc>
      </w:tr>
      <w:tr>
        <w:tblPrEx>
          <w:tblCellMar>
            <w:top w:w="0" w:type="dxa"/>
            <w:left w:w="0" w:type="dxa"/>
            <w:bottom w:w="0" w:type="dxa"/>
            <w:right w:w="0" w:type="dxa"/>
          </w:tblCellMar>
        </w:tblPrEx>
        <w:trPr>
          <w:trHeight w:val="340" w:hRule="atLeast"/>
          <w:jc w:val="center"/>
        </w:trPr>
        <w:tc>
          <w:tcPr>
            <w:tcW w:w="2116"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100000以上</w:t>
            </w:r>
          </w:p>
        </w:tc>
        <w:tc>
          <w:tcPr>
            <w:tcW w:w="2024"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c>
          <w:tcPr>
            <w:tcW w:w="180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c>
          <w:tcPr>
            <w:tcW w:w="2160" w:type="dxa"/>
            <w:tcBorders>
              <w:top w:val="single" w:color="auto" w:sz="8" w:space="0"/>
              <w:left w:val="single" w:color="auto" w:sz="8" w:space="0"/>
              <w:bottom w:val="single" w:color="auto" w:sz="8" w:space="0"/>
              <w:right w:val="single" w:color="auto" w:sz="8" w:space="0"/>
            </w:tcBorders>
            <w:vAlign w:val="center"/>
          </w:tcPr>
          <w:p>
            <w:pPr>
              <w:spacing w:line="360" w:lineRule="auto"/>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0.01%</w:t>
            </w:r>
          </w:p>
        </w:tc>
      </w:tr>
    </w:tbl>
    <w:p>
      <w:pPr>
        <w:snapToGrid w:val="0"/>
        <w:spacing w:line="360" w:lineRule="auto"/>
        <w:ind w:left="840" w:hanging="960" w:hangingChars="4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注：l、按本表费率计算的收费为招标代理服务全过程的收费基准价格，单独提供编制</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 xml:space="preserve">(有标底的含标底)服务的，可按规定标准的30％计收。  </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41" w:name="_Toc27983"/>
      <w:bookmarkStart w:id="42" w:name="_Toc470172668"/>
      <w:r>
        <w:rPr>
          <w:rFonts w:hint="eastAsia" w:asciiTheme="minorEastAsia" w:hAnsiTheme="minorEastAsia" w:eastAsiaTheme="minorEastAsia" w:cstheme="minorEastAsia"/>
          <w:b/>
          <w:sz w:val="24"/>
          <w:szCs w:val="24"/>
        </w:rPr>
        <w:t>磋商文件</w:t>
      </w:r>
      <w:bookmarkEnd w:id="41"/>
      <w:bookmarkEnd w:id="42"/>
    </w:p>
    <w:p>
      <w:pPr>
        <w:numPr>
          <w:ilvl w:val="0"/>
          <w:numId w:val="3"/>
        </w:numPr>
        <w:snapToGrid w:val="0"/>
        <w:spacing w:line="360" w:lineRule="auto"/>
        <w:ind w:hanging="540"/>
        <w:outlineLvl w:val="1"/>
        <w:rPr>
          <w:rFonts w:asciiTheme="minorEastAsia" w:hAnsiTheme="minorEastAsia" w:eastAsiaTheme="minorEastAsia" w:cstheme="minorEastAsia"/>
          <w:b/>
          <w:sz w:val="24"/>
          <w:szCs w:val="24"/>
        </w:rPr>
      </w:pPr>
      <w:bookmarkStart w:id="43" w:name="_Toc470172669"/>
      <w:bookmarkStart w:id="44" w:name="_Toc17515"/>
      <w:bookmarkStart w:id="45" w:name="_Toc4547"/>
      <w:r>
        <w:rPr>
          <w:rFonts w:hint="eastAsia" w:asciiTheme="minorEastAsia" w:hAnsiTheme="minorEastAsia" w:eastAsiaTheme="minorEastAsia" w:cstheme="minorEastAsia"/>
          <w:b/>
          <w:sz w:val="24"/>
          <w:szCs w:val="24"/>
        </w:rPr>
        <w:t>磋商文件的构成</w:t>
      </w:r>
      <w:bookmarkEnd w:id="43"/>
      <w:bookmarkEnd w:id="44"/>
      <w:bookmarkEnd w:id="4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5.1本磋商文件包括：</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（1）磋商公告</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（2）供应商须知</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（3）项目采购需求</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（4）合同草案</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（5）评审程序、方法及标准</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（6）响应文件的格式</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（7）采购过程中由采购代理机构发出的澄清和修正文件</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（8）磋商小组在磋商过程中发出的对本磋商文件的实质性变动</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46" w:name="_Toc29700"/>
      <w:bookmarkStart w:id="47" w:name="_Toc470172670"/>
      <w:bookmarkStart w:id="48" w:name="_Toc32576"/>
      <w:r>
        <w:rPr>
          <w:rFonts w:hint="eastAsia" w:asciiTheme="minorEastAsia" w:hAnsiTheme="minorEastAsia" w:eastAsiaTheme="minorEastAsia" w:cstheme="minorEastAsia"/>
          <w:b/>
          <w:snapToGrid w:val="0"/>
          <w:kern w:val="0"/>
          <w:sz w:val="24"/>
          <w:szCs w:val="24"/>
          <w:lang w:val="zh-CN"/>
        </w:rPr>
        <w:t>磋商文件的澄清</w:t>
      </w:r>
      <w:bookmarkEnd w:id="46"/>
      <w:bookmarkEnd w:id="47"/>
      <w:r>
        <w:rPr>
          <w:rFonts w:hint="eastAsia" w:asciiTheme="minorEastAsia" w:hAnsiTheme="minorEastAsia" w:eastAsiaTheme="minorEastAsia" w:cstheme="minorEastAsia"/>
          <w:b/>
          <w:snapToGrid w:val="0"/>
          <w:kern w:val="0"/>
          <w:sz w:val="24"/>
          <w:szCs w:val="24"/>
          <w:lang w:val="zh-CN"/>
        </w:rPr>
        <w:t>或者修改</w:t>
      </w:r>
      <w:bookmarkEnd w:id="4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bookmarkStart w:id="49" w:name="_Toc470172671"/>
      <w:bookmarkStart w:id="50" w:name="_Toc31761"/>
      <w:r>
        <w:rPr>
          <w:rFonts w:hint="eastAsia" w:asciiTheme="minorEastAsia" w:hAnsiTheme="minorEastAsia" w:eastAsiaTheme="minorEastAsia" w:cstheme="minorEastAsia"/>
          <w:snapToGrid w:val="0"/>
          <w:kern w:val="0"/>
          <w:sz w:val="24"/>
          <w:szCs w:val="24"/>
          <w:lang w:val="zh-CN"/>
        </w:rPr>
        <w:t>6.1提交首次响应文件截止之日前，采购人、采购代理机构或者磋商小组可以对已发出的磋商文件进行必要的澄清或者修改，澄清或者修改的内容作为磋商文件的组成部分。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6.2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6.3 供应商在收到澄清或者修改通知后，应在《供应商须知前附表》规定的时间内以书面形式通知采购代理机构，确认已收到该澄清或者修改通知。</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6.4上述书面形式通知包括纸质的文件、信件，也包括电报、电传、传真、电子数据交换和电子邮件等数据电文。</w:t>
      </w:r>
    </w:p>
    <w:bookmarkEnd w:id="49"/>
    <w:bookmarkEnd w:id="50"/>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51" w:name="_Toc11891"/>
      <w:r>
        <w:rPr>
          <w:rFonts w:hint="eastAsia" w:asciiTheme="minorEastAsia" w:hAnsiTheme="minorEastAsia" w:eastAsiaTheme="minorEastAsia" w:cstheme="minorEastAsia"/>
          <w:b/>
          <w:snapToGrid w:val="0"/>
          <w:kern w:val="0"/>
          <w:sz w:val="24"/>
          <w:szCs w:val="24"/>
          <w:lang w:val="zh-CN"/>
        </w:rPr>
        <w:t>踏勘现场</w:t>
      </w:r>
      <w:bookmarkEnd w:id="5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7.1 供应商须知前附表规定组织踏勘现场的，采购代理机构按《供应商须知前附表》规定的时间、地点组织供应商踏勘项目现场。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7.2 供应商踏勘现场发生的费用自理。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7.3 除采购人和采购代理机构的原因外，供应商自行负责在踏勘现场中所发生的人员伤亡和财产损失。</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7.4 采购人在踏勘现场中介绍的项目场地和相关的周边环境情况，供应商在编制投标文件时参考，采购人和采购代理机构不对供应商据此作出的判断和决策负责。</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52" w:name="_Toc470172672"/>
      <w:bookmarkStart w:id="53" w:name="_Toc24886"/>
      <w:r>
        <w:rPr>
          <w:rFonts w:hint="eastAsia" w:asciiTheme="minorEastAsia" w:hAnsiTheme="minorEastAsia" w:eastAsiaTheme="minorEastAsia" w:cstheme="minorEastAsia"/>
          <w:b/>
          <w:sz w:val="24"/>
          <w:szCs w:val="24"/>
        </w:rPr>
        <w:t>竞争性磋商响应文件</w:t>
      </w:r>
      <w:bookmarkEnd w:id="52"/>
      <w:bookmarkEnd w:id="53"/>
    </w:p>
    <w:p>
      <w:pPr>
        <w:numPr>
          <w:ilvl w:val="0"/>
          <w:numId w:val="3"/>
        </w:numPr>
        <w:snapToGrid w:val="0"/>
        <w:spacing w:line="360" w:lineRule="auto"/>
        <w:ind w:hanging="540"/>
        <w:outlineLvl w:val="1"/>
        <w:rPr>
          <w:rFonts w:asciiTheme="minorEastAsia" w:hAnsiTheme="minorEastAsia" w:eastAsiaTheme="minorEastAsia" w:cstheme="minorEastAsia"/>
          <w:snapToGrid w:val="0"/>
          <w:kern w:val="0"/>
          <w:sz w:val="24"/>
          <w:szCs w:val="24"/>
          <w:lang w:val="zh-CN"/>
        </w:rPr>
      </w:pPr>
      <w:bookmarkStart w:id="54" w:name="_Toc470172673"/>
      <w:bookmarkStart w:id="55" w:name="_Toc30987"/>
      <w:bookmarkStart w:id="56" w:name="_Toc10631"/>
      <w:r>
        <w:rPr>
          <w:rFonts w:hint="eastAsia" w:asciiTheme="minorEastAsia" w:hAnsiTheme="minorEastAsia" w:eastAsiaTheme="minorEastAsia" w:cstheme="minorEastAsia"/>
          <w:b/>
          <w:snapToGrid w:val="0"/>
          <w:kern w:val="0"/>
          <w:sz w:val="24"/>
          <w:szCs w:val="24"/>
          <w:lang w:val="zh-CN"/>
        </w:rPr>
        <w:t>语言和计量单位</w:t>
      </w:r>
      <w:bookmarkEnd w:id="54"/>
      <w:bookmarkEnd w:id="55"/>
      <w:bookmarkEnd w:id="5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8.1供应商提交的竞争性磋商响应文件以及供应商与采购代理机构或采购人就有关磋商的所有来往函电均应使用中文。供应商提交的支持文件或印刷的文献可以用另一种语言，但相应内容应附有中文翻译本，在解释竞争性磋商响应文件时以中文翻译本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8.2除非磋商文件中另有规定，计量单位均采用中华人民共和国法定的计量单位。</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57" w:name="_Toc2486"/>
      <w:bookmarkStart w:id="58" w:name="_Toc32272"/>
      <w:bookmarkStart w:id="59" w:name="_Toc470172674"/>
      <w:r>
        <w:rPr>
          <w:rFonts w:hint="eastAsia" w:asciiTheme="minorEastAsia" w:hAnsiTheme="minorEastAsia" w:eastAsiaTheme="minorEastAsia" w:cstheme="minorEastAsia"/>
          <w:b/>
          <w:snapToGrid w:val="0"/>
          <w:kern w:val="0"/>
          <w:sz w:val="24"/>
          <w:szCs w:val="24"/>
          <w:lang w:val="zh-CN"/>
        </w:rPr>
        <w:t>竞争性磋商响应文件的构成</w:t>
      </w:r>
      <w:bookmarkEnd w:id="57"/>
      <w:bookmarkEnd w:id="58"/>
      <w:bookmarkEnd w:id="59"/>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9.1供应商编制的竞争性磋商响应件应包括的内容详见本文件第六章要求。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注：响应文件目录及内容每页须顺序编写页码。</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0" w:name="_Toc470172681"/>
      <w:bookmarkStart w:id="61" w:name="_Toc27068"/>
      <w:bookmarkStart w:id="62" w:name="_Toc27890"/>
      <w:bookmarkStart w:id="63" w:name="_Toc25217"/>
      <w:bookmarkStart w:id="64" w:name="_Toc470172675"/>
      <w:r>
        <w:rPr>
          <w:rFonts w:hint="eastAsia" w:asciiTheme="minorEastAsia" w:hAnsiTheme="minorEastAsia" w:eastAsiaTheme="minorEastAsia" w:cstheme="minorEastAsia"/>
          <w:b/>
          <w:snapToGrid w:val="0"/>
          <w:kern w:val="0"/>
          <w:sz w:val="24"/>
          <w:szCs w:val="24"/>
          <w:lang w:val="zh-CN"/>
        </w:rPr>
        <w:t>磋商保证金</w:t>
      </w:r>
      <w:bookmarkEnd w:id="60"/>
      <w:bookmarkEnd w:id="61"/>
      <w:bookmarkEnd w:id="6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16.1本磋商文件是否要求交纳磋商保证金及保证金金额、交纳方式、交纳时间、接受保证金的帐户信息等详见《供应商须知前附表》。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16.2本磋商文件要求交纳磋商保证金的，磋商保证金作为响应文件的组成部分，以到账时间为准。凡未按规定交纳磋商保证金的报价，其响应文件将被视为无效文件。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16.3磋商保证金有效期：磋商保证金的有效期与响应文件有效期一致。</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16.4供应商为联合体的，可以由联合体中的一方或者多方共同交纳，其交纳的保证金对联合体各方均具有约束力。</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16.5磋商保证金的退还：未成交的磋商供应商，其磋商保证金在成交通知书发出后5个工作日内不计利息原额退还，成交供应商的磋商保证金，在成交供应商与采购人签订合同后5个工作日内不计利息原额退还。</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16.6有下列情形之一的，磋商保证金将不予退还:</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（1）供应商在提交响应文件截止时间后撤回响应文件的；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（2）供应商在响应文件中提供虚假材料的；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（3）除因不可抗力或磋商文件认可的情形以外，成交供应商不与采购人签订合同的；</w:t>
      </w:r>
    </w:p>
    <w:p>
      <w:pPr>
        <w:tabs>
          <w:tab w:val="left" w:pos="525"/>
        </w:tabs>
        <w:autoSpaceDE w:val="0"/>
        <w:autoSpaceDN w:val="0"/>
        <w:adjustRightInd w:val="0"/>
        <w:snapToGrid w:val="0"/>
        <w:spacing w:line="360" w:lineRule="auto"/>
        <w:ind w:left="54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（4）供应商与采购人、其他供应商或者采购代理机构恶意串通的。</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5" w:name="_Toc27217"/>
      <w:r>
        <w:rPr>
          <w:rFonts w:hint="eastAsia" w:asciiTheme="minorEastAsia" w:hAnsiTheme="minorEastAsia" w:eastAsiaTheme="minorEastAsia" w:cstheme="minorEastAsia"/>
          <w:b/>
          <w:snapToGrid w:val="0"/>
          <w:kern w:val="0"/>
          <w:sz w:val="24"/>
          <w:szCs w:val="24"/>
          <w:lang w:val="zh-CN"/>
        </w:rPr>
        <w:t>竞争性磋商响应文件的编制</w:t>
      </w:r>
      <w:bookmarkEnd w:id="63"/>
      <w:bookmarkEnd w:id="64"/>
      <w:bookmarkEnd w:id="6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10.1供应商应当按照本磋商文件的要求编制响应文件，并对其提交的响应文件及全部资料的真实性、合法性承担法律责任，并接受采购代理机构对其中任何资料进一步核实的要求。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10.2供应商应认真阅读本磋商文件中的所有内容，并对本磋商文件提出的要求和条件作出实质性响应。如供应商没有按照本磋商文件的要求提交全部资料，或者没有对本磋商文件在各方面都做出实质性响应的，其响应文件将被视为无效文件。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10.3供应商应完整地按本磋商文件的要求提交所有资料并按要求的格式填写规定的所有内容，无相应内容可填项的，应填写“无”、“未测试”、“没有相应指标”等明确的回答文字。如未规定格式的，相关格式由供应商自定。</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10.4供应商在编制响应文件时应注意本次采购对多包采购的规定，多包采购的规定见《供应商须知前附表》。</w:t>
      </w:r>
    </w:p>
    <w:p>
      <w:pPr>
        <w:numPr>
          <w:ilvl w:val="0"/>
          <w:numId w:val="3"/>
        </w:numPr>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6" w:name="_Toc470172676"/>
      <w:bookmarkStart w:id="67" w:name="_Toc24544"/>
      <w:bookmarkStart w:id="68" w:name="_Toc9646"/>
      <w:r>
        <w:rPr>
          <w:rFonts w:hint="eastAsia" w:asciiTheme="minorEastAsia" w:hAnsiTheme="minorEastAsia" w:eastAsiaTheme="minorEastAsia" w:cstheme="minorEastAsia"/>
          <w:b/>
          <w:snapToGrid w:val="0"/>
          <w:kern w:val="0"/>
          <w:sz w:val="24"/>
          <w:szCs w:val="24"/>
          <w:lang w:val="zh-CN"/>
        </w:rPr>
        <w:t>磋商报价</w:t>
      </w:r>
      <w:bookmarkEnd w:id="66"/>
      <w:bookmarkEnd w:id="67"/>
      <w:bookmarkEnd w:id="6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11.1磋商报价包括磋商供应商在首次提交的响应文件中的报价、磋商过程中的报价和最后报价。磋商供应商的报价均应以人民币报价。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11.2供应商应按照本磋商文件规定的采购需求及合同条款进行报价，并按磋商文件确定的格式报出。报价中不得包含磋商文件要求以外的内容，否则，在评审时不予核减。报价中也不得缺漏磋商文件所要求的内容，否则，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11.3供应商应根据本磋商文件的规定和要求、市场价格水平及其走势、磋商供应商的管理水平、磋商供应商的方案和由这些因素决定的磋商供应商之于本项目的成本水平等提出自己的报价。报价应包含完成本磋商文件采购需求全部内容的所有费用，所有根据本磋商文件或其它原因应由磋商供应商支付的税款和其他应交纳的费用都应包括在报价中。但磋商供应商不得以低于其成本的价格进行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11.4供应商在响应文件中注明免费的项目将视为包含在报价中。</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11.5每一种采购内容只允许有一个报价，否则其响应文件将被视为无效文件。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11.6成交供应商的报价在合同执行过程中是固定不变的，不得以任何理由予以变更。</w:t>
      </w:r>
    </w:p>
    <w:p>
      <w:pPr>
        <w:numPr>
          <w:ilvl w:val="0"/>
          <w:numId w:val="3"/>
        </w:numPr>
        <w:tabs>
          <w:tab w:val="left" w:pos="864"/>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69" w:name="_Toc6176"/>
      <w:bookmarkStart w:id="70" w:name="_Toc7965"/>
      <w:bookmarkStart w:id="71" w:name="_Toc470172677"/>
      <w:r>
        <w:rPr>
          <w:rFonts w:hint="eastAsia" w:asciiTheme="minorEastAsia" w:hAnsiTheme="minorEastAsia" w:eastAsiaTheme="minorEastAsia" w:cstheme="minorEastAsia"/>
          <w:b/>
          <w:snapToGrid w:val="0"/>
          <w:kern w:val="0"/>
          <w:sz w:val="24"/>
          <w:szCs w:val="24"/>
          <w:lang w:val="zh-CN"/>
        </w:rPr>
        <w:t>备选方案</w:t>
      </w:r>
      <w:bookmarkEnd w:id="69"/>
      <w:bookmarkEnd w:id="70"/>
      <w:bookmarkEnd w:id="7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12.1是否允许备选方案见《供应商须知前附表》。不允许有备选方案的，若在响应文件中提交了备选方案，其响应文件将被视为无效文件。 </w:t>
      </w:r>
    </w:p>
    <w:p>
      <w:pPr>
        <w:numPr>
          <w:ilvl w:val="0"/>
          <w:numId w:val="3"/>
        </w:numPr>
        <w:tabs>
          <w:tab w:val="left" w:pos="864"/>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2" w:name="_Toc470172678"/>
      <w:bookmarkStart w:id="73" w:name="_Toc3324"/>
      <w:bookmarkStart w:id="74" w:name="_Toc7789"/>
      <w:r>
        <w:rPr>
          <w:rFonts w:hint="eastAsia" w:asciiTheme="minorEastAsia" w:hAnsiTheme="minorEastAsia" w:eastAsiaTheme="minorEastAsia" w:cstheme="minorEastAsia"/>
          <w:b/>
          <w:snapToGrid w:val="0"/>
          <w:kern w:val="0"/>
          <w:sz w:val="24"/>
          <w:szCs w:val="24"/>
          <w:lang w:val="zh-CN"/>
        </w:rPr>
        <w:t>联合体</w:t>
      </w:r>
      <w:bookmarkEnd w:id="72"/>
      <w:bookmarkEnd w:id="73"/>
      <w:bookmarkEnd w:id="7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13.1本次采购是否允许联合体参加详见《供应商须知前附表》。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13.2本次采购允许联合体参与磋商的，联合体各方不得再单独或者与其他供应商另外组成联合体参加本项目的磋商，否则相关响应文件均告无效。</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5" w:name="_Toc2434"/>
      <w:bookmarkStart w:id="76" w:name="_Toc21267"/>
      <w:bookmarkStart w:id="77" w:name="_Toc470172679"/>
      <w:r>
        <w:rPr>
          <w:rFonts w:hint="eastAsia" w:asciiTheme="minorEastAsia" w:hAnsiTheme="minorEastAsia" w:eastAsiaTheme="minorEastAsia" w:cstheme="minorEastAsia"/>
          <w:b/>
          <w:snapToGrid w:val="0"/>
          <w:kern w:val="0"/>
          <w:sz w:val="24"/>
          <w:szCs w:val="24"/>
          <w:lang w:val="zh-CN"/>
        </w:rPr>
        <w:t>供应商资格证明文件</w:t>
      </w:r>
      <w:bookmarkEnd w:id="75"/>
      <w:bookmarkEnd w:id="76"/>
      <w:bookmarkEnd w:id="7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14.1供应商应在响应文件提交证明其有资格参加磋商的证明文件，证明文件应包括：详见第六章“资格证明文件”。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14.2磋商文件要求供应商应提交的其它资格证明文件，应提交的其它资格证明文件见《供应商须知前附表》。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14.3除本须知14.1要求的资格证明文件外，如国家法律法规对市场准入有要求的还应提交相关资格证明文件。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kern w:val="0"/>
          <w:sz w:val="24"/>
          <w:szCs w:val="24"/>
          <w:lang w:val="zh-CN"/>
        </w:rPr>
        <w:t>14.4</w:t>
      </w:r>
      <w:r>
        <w:rPr>
          <w:rFonts w:hint="eastAsia" w:asciiTheme="minorEastAsia" w:hAnsiTheme="minorEastAsia" w:eastAsiaTheme="minorEastAsia" w:cstheme="minorEastAsia"/>
          <w:sz w:val="24"/>
          <w:szCs w:val="24"/>
          <w:lang w:val="zh-CN"/>
        </w:rPr>
        <w:t>所有证书、证明文件包括按要求提供的官网截图必须是真实可查证的，须注明资料来源。资格证明文件应为原件的扫描件，响应文件中须编入清晰的扫描件或复印件。所有证明材料须清晰可辨认，如因证明材料模糊无法辨认，缺页、漏页导致无法进行评审认定的责任由供应商自负。如发现弄虚作假将按照有关规定严肃处理。证明材料仅限于投标单位本身，参股或控股单位及独立法人子公司的材料不能作为证明材料，但投标单位兼并的企业的材料可作为证明材料。</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78" w:name="_Toc9935"/>
      <w:bookmarkStart w:id="79" w:name="_Toc32020"/>
      <w:bookmarkStart w:id="80" w:name="_Toc470172680"/>
      <w:r>
        <w:rPr>
          <w:rFonts w:hint="eastAsia" w:asciiTheme="minorEastAsia" w:hAnsiTheme="minorEastAsia" w:eastAsiaTheme="minorEastAsia" w:cstheme="minorEastAsia"/>
          <w:b/>
          <w:snapToGrid w:val="0"/>
          <w:kern w:val="0"/>
          <w:sz w:val="24"/>
          <w:szCs w:val="24"/>
          <w:lang w:val="zh-CN"/>
        </w:rPr>
        <w:t>证明报价内容、服务合格性和符合磋商文件规定的文件</w:t>
      </w:r>
      <w:bookmarkEnd w:id="78"/>
      <w:bookmarkEnd w:id="79"/>
      <w:bookmarkEnd w:id="8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15.1证明报价内容符合磋商文件要求的文件和磋商文件规定的其他资料，具体要求见《供应商须知前附表》。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1" w:name="_Toc5668"/>
      <w:bookmarkStart w:id="82" w:name="_Toc18470"/>
      <w:bookmarkStart w:id="83" w:name="_Toc470172682"/>
      <w:r>
        <w:rPr>
          <w:rFonts w:hint="eastAsia" w:asciiTheme="minorEastAsia" w:hAnsiTheme="minorEastAsia" w:eastAsiaTheme="minorEastAsia" w:cstheme="minorEastAsia"/>
          <w:b/>
          <w:snapToGrid w:val="0"/>
          <w:kern w:val="0"/>
          <w:sz w:val="24"/>
          <w:szCs w:val="24"/>
          <w:lang w:val="zh-CN"/>
        </w:rPr>
        <w:t>响应文件有效期</w:t>
      </w:r>
      <w:bookmarkEnd w:id="81"/>
      <w:bookmarkEnd w:id="82"/>
      <w:bookmarkEnd w:id="83"/>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17.1响应文件有效期从磋商结束之日起计算，本次采购响应文件有效期见《供应商须知前附表》，磋商供应商承诺的响应文件有效期不足的，其响应文件将被视为无效文件。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17.2特殊情况下，在原响应文件有效期截止之前，采购代理机构或采购人可要求供应商延长响应文件有效期。需要延长响应文件有效期时，采购代理机构或采购人将以书面形式通知所有磋商供应商，供应商应以书面形式答复是否同意延长响应文件有效期。</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17.3供应商同意延长的，其磋商保证金有效期相应延长，但不得要求或被允许修改或撤销其响应文件；供应商拒绝延长的，其响应文件在原响应文件有效期满后将不再有效，供应商有权收回其磋商保证金。</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4" w:name="_Toc26848"/>
      <w:bookmarkStart w:id="85" w:name="_Toc470172683"/>
      <w:bookmarkStart w:id="86" w:name="_Toc8272"/>
      <w:r>
        <w:rPr>
          <w:rFonts w:hint="eastAsia" w:asciiTheme="minorEastAsia" w:hAnsiTheme="minorEastAsia" w:eastAsiaTheme="minorEastAsia" w:cstheme="minorEastAsia"/>
          <w:b/>
          <w:snapToGrid w:val="0"/>
          <w:kern w:val="0"/>
          <w:sz w:val="24"/>
          <w:szCs w:val="24"/>
          <w:lang w:val="zh-CN"/>
        </w:rPr>
        <w:t>响应文件的装订、签署和数量</w:t>
      </w:r>
      <w:bookmarkEnd w:id="84"/>
      <w:bookmarkEnd w:id="85"/>
      <w:bookmarkEnd w:id="8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18.1供应商提交的响应文件应包括正本、副本、完整的电子文档及单独提供的法定代表人授权委托书（或法定代表人身份证明书）、</w:t>
      </w:r>
      <w:r>
        <w:rPr>
          <w:rFonts w:hint="eastAsia" w:asciiTheme="minorEastAsia" w:hAnsiTheme="minorEastAsia" w:eastAsiaTheme="minorEastAsia" w:cstheme="minorEastAsia"/>
          <w:snapToGrid w:val="0"/>
          <w:kern w:val="0"/>
          <w:sz w:val="24"/>
          <w:szCs w:val="24"/>
          <w:lang w:val="en-US" w:eastAsia="zh-CN"/>
        </w:rPr>
        <w:t>磋商函附录</w:t>
      </w:r>
      <w:r>
        <w:rPr>
          <w:rFonts w:hint="eastAsia" w:asciiTheme="minorEastAsia" w:hAnsiTheme="minorEastAsia" w:eastAsiaTheme="minorEastAsia" w:cstheme="minorEastAsia"/>
          <w:snapToGrid w:val="0"/>
          <w:kern w:val="0"/>
          <w:sz w:val="24"/>
          <w:szCs w:val="24"/>
          <w:lang w:val="zh-CN"/>
        </w:rPr>
        <w:t>、优惠声明（如有）。本次磋商供应商提交响应文件正、副本和电子文档的数量见《供应商须知前附表》。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每套响应文件须清楚地标明“正本”、“副本”，响应文件的副本可采用正本的复印件，若副本与正本不符，以正本为准；如单独提供的法定代表人授权委托书（或法定代表人身份证明书）、报价一览表、优惠声明（如有）与响应文件正本不符，以正本为准。电子文档与纸质文件不符，以纸质文件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18.2正本需打印或用不褪色墨水书写，并由法定代表人或授权代表签字并加盖公章。由授权代表签字的，响应文件中应提交《法定代表人授权书》。供应商为自然人的，由供应商本人签字并附身份证明。</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18.3竞争性磋商响应文件中的任何行间插字、涂改和增删，必须由法定代表人或授权代表在旁边签字才有效。</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18.4响应文件应当采用不可拆卸的方法的装订，对未经装订的竞争性磋商响应文件可能发生的文件散落或缺损及由此产生的后果由磋商供应商承担。</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87" w:name="_Toc470172684"/>
      <w:bookmarkStart w:id="88" w:name="_Toc10579"/>
      <w:r>
        <w:rPr>
          <w:rFonts w:hint="eastAsia" w:asciiTheme="minorEastAsia" w:hAnsiTheme="minorEastAsia" w:eastAsiaTheme="minorEastAsia" w:cstheme="minorEastAsia"/>
          <w:b/>
          <w:sz w:val="24"/>
          <w:szCs w:val="24"/>
        </w:rPr>
        <w:t>响应文件的递交</w:t>
      </w:r>
      <w:bookmarkEnd w:id="87"/>
      <w:bookmarkEnd w:id="88"/>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89" w:name="_Toc470172685"/>
      <w:bookmarkStart w:id="90" w:name="_Toc27305"/>
      <w:bookmarkStart w:id="91" w:name="_Toc18118"/>
      <w:r>
        <w:rPr>
          <w:rFonts w:hint="eastAsia" w:asciiTheme="minorEastAsia" w:hAnsiTheme="minorEastAsia" w:eastAsiaTheme="minorEastAsia" w:cstheme="minorEastAsia"/>
          <w:b/>
          <w:sz w:val="24"/>
          <w:szCs w:val="24"/>
        </w:rPr>
        <w:t>响应文件</w:t>
      </w:r>
      <w:r>
        <w:rPr>
          <w:rFonts w:hint="eastAsia" w:asciiTheme="minorEastAsia" w:hAnsiTheme="minorEastAsia" w:eastAsiaTheme="minorEastAsia" w:cstheme="minorEastAsia"/>
          <w:b/>
          <w:snapToGrid w:val="0"/>
          <w:kern w:val="0"/>
          <w:sz w:val="24"/>
          <w:szCs w:val="24"/>
          <w:lang w:val="zh-CN"/>
        </w:rPr>
        <w:t>的密封和标记</w:t>
      </w:r>
      <w:bookmarkEnd w:id="89"/>
      <w:bookmarkEnd w:id="90"/>
      <w:bookmarkEnd w:id="9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19.1响应文件的正本、所有副本和电子文档必须密封和加盖供应商公章后递交，包装上应注明项目编号、项目名称、包号、供应商名称及“</w:t>
      </w:r>
      <w:r>
        <w:rPr>
          <w:rFonts w:hint="eastAsia" w:asciiTheme="minorEastAsia" w:hAnsiTheme="minorEastAsia" w:eastAsiaTheme="minorEastAsia" w:cstheme="minorEastAsia"/>
          <w:snapToGrid w:val="0"/>
          <w:kern w:val="0"/>
          <w:sz w:val="24"/>
          <w:szCs w:val="24"/>
          <w:u w:val="single"/>
          <w:lang w:val="zh-CN"/>
        </w:rPr>
        <w:t xml:space="preserve">  （磋商时间）  前不得启封</w:t>
      </w:r>
      <w:r>
        <w:rPr>
          <w:rFonts w:hint="eastAsia" w:asciiTheme="minorEastAsia" w:hAnsiTheme="minorEastAsia" w:eastAsiaTheme="minorEastAsia" w:cstheme="minorEastAsia"/>
          <w:snapToGrid w:val="0"/>
          <w:kern w:val="0"/>
          <w:sz w:val="24"/>
          <w:szCs w:val="24"/>
          <w:lang w:val="zh-CN"/>
        </w:rPr>
        <w:t>”的字样。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19.2供应商需要单独准备一份</w:t>
      </w:r>
      <w:r>
        <w:rPr>
          <w:rFonts w:hint="eastAsia" w:asciiTheme="minorEastAsia" w:hAnsiTheme="minorEastAsia" w:eastAsiaTheme="minorEastAsia" w:cstheme="minorEastAsia"/>
          <w:b/>
          <w:bCs/>
          <w:snapToGrid w:val="0"/>
          <w:kern w:val="0"/>
          <w:sz w:val="24"/>
          <w:szCs w:val="24"/>
          <w:lang w:val="zh-CN"/>
        </w:rPr>
        <w:t>“</w:t>
      </w:r>
      <w:r>
        <w:rPr>
          <w:rFonts w:hint="eastAsia" w:asciiTheme="minorEastAsia" w:hAnsiTheme="minorEastAsia" w:eastAsiaTheme="minorEastAsia" w:cstheme="minorEastAsia"/>
          <w:b/>
          <w:bCs/>
          <w:snapToGrid w:val="0"/>
          <w:kern w:val="0"/>
          <w:sz w:val="24"/>
          <w:szCs w:val="24"/>
          <w:lang w:val="en-US" w:eastAsia="zh-CN"/>
        </w:rPr>
        <w:t>磋商函附录</w:t>
      </w:r>
      <w:r>
        <w:rPr>
          <w:rFonts w:hint="eastAsia" w:asciiTheme="minorEastAsia" w:hAnsiTheme="minorEastAsia" w:eastAsiaTheme="minorEastAsia" w:cstheme="minorEastAsia"/>
          <w:b/>
          <w:bCs/>
          <w:snapToGrid w:val="0"/>
          <w:kern w:val="0"/>
          <w:sz w:val="24"/>
          <w:szCs w:val="24"/>
          <w:lang w:val="zh-CN"/>
        </w:rPr>
        <w:t>”</w:t>
      </w:r>
      <w:r>
        <w:rPr>
          <w:rFonts w:hint="eastAsia" w:asciiTheme="minorEastAsia" w:hAnsiTheme="minorEastAsia" w:eastAsiaTheme="minorEastAsia" w:cstheme="minorEastAsia"/>
          <w:snapToGrid w:val="0"/>
          <w:kern w:val="0"/>
          <w:sz w:val="24"/>
          <w:szCs w:val="24"/>
          <w:lang w:val="zh-CN"/>
        </w:rPr>
        <w:t>，以方便开标时唱标，供应商应将“</w:t>
      </w:r>
      <w:r>
        <w:rPr>
          <w:rFonts w:hint="eastAsia" w:asciiTheme="minorEastAsia" w:hAnsiTheme="minorEastAsia" w:eastAsiaTheme="minorEastAsia" w:cstheme="minorEastAsia"/>
          <w:b/>
          <w:bCs/>
          <w:snapToGrid w:val="0"/>
          <w:kern w:val="0"/>
          <w:sz w:val="24"/>
          <w:szCs w:val="24"/>
          <w:lang w:val="en-US" w:eastAsia="zh-CN"/>
        </w:rPr>
        <w:t>磋商函附录</w:t>
      </w:r>
      <w:r>
        <w:rPr>
          <w:rFonts w:hint="eastAsia" w:asciiTheme="minorEastAsia" w:hAnsiTheme="minorEastAsia" w:eastAsiaTheme="minorEastAsia" w:cstheme="minorEastAsia"/>
          <w:b/>
          <w:bCs/>
          <w:snapToGrid w:val="0"/>
          <w:kern w:val="0"/>
          <w:sz w:val="24"/>
          <w:szCs w:val="24"/>
          <w:lang w:val="zh-CN"/>
        </w:rPr>
        <w:t>”同“电子文件（以U盘为准）”一起密封</w:t>
      </w:r>
      <w:r>
        <w:rPr>
          <w:rFonts w:hint="eastAsia" w:asciiTheme="minorEastAsia" w:hAnsiTheme="minorEastAsia" w:eastAsiaTheme="minorEastAsia" w:cstheme="minorEastAsia"/>
          <w:snapToGrid w:val="0"/>
          <w:kern w:val="0"/>
          <w:sz w:val="24"/>
          <w:szCs w:val="24"/>
          <w:lang w:val="zh-CN"/>
        </w:rPr>
        <w:t>，并在信封上标明项目名称、供应商名称、“</w:t>
      </w:r>
      <w:r>
        <w:rPr>
          <w:rFonts w:hint="eastAsia" w:asciiTheme="minorEastAsia" w:hAnsiTheme="minorEastAsia" w:eastAsiaTheme="minorEastAsia" w:cstheme="minorEastAsia"/>
          <w:snapToGrid w:val="0"/>
          <w:kern w:val="0"/>
          <w:sz w:val="24"/>
          <w:szCs w:val="24"/>
          <w:lang w:val="en-US" w:eastAsia="zh-CN"/>
        </w:rPr>
        <w:t>磋商函附录及</w:t>
      </w:r>
      <w:r>
        <w:rPr>
          <w:rFonts w:hint="eastAsia" w:asciiTheme="minorEastAsia" w:hAnsiTheme="minorEastAsia" w:eastAsiaTheme="minorEastAsia" w:cstheme="minorEastAsia"/>
          <w:snapToGrid w:val="0"/>
          <w:kern w:val="0"/>
          <w:sz w:val="24"/>
          <w:szCs w:val="24"/>
          <w:lang w:val="zh-CN"/>
        </w:rPr>
        <w:t>电子文件”和“于（开标时间）之前不得启封”字样。为方便检查，供应商需单独提交一份</w:t>
      </w:r>
      <w:r>
        <w:rPr>
          <w:rFonts w:hint="eastAsia" w:asciiTheme="minorEastAsia" w:hAnsiTheme="minorEastAsia" w:eastAsiaTheme="minorEastAsia" w:cstheme="minorEastAsia"/>
          <w:b/>
          <w:bCs/>
          <w:snapToGrid w:val="0"/>
          <w:kern w:val="0"/>
          <w:sz w:val="24"/>
          <w:szCs w:val="24"/>
          <w:lang w:val="zh-CN"/>
        </w:rPr>
        <w:t>法定代表人授权委托书</w:t>
      </w:r>
      <w:r>
        <w:rPr>
          <w:rFonts w:hint="eastAsia" w:asciiTheme="minorEastAsia" w:hAnsiTheme="minorEastAsia" w:eastAsiaTheme="minorEastAsia" w:cstheme="minorEastAsia"/>
          <w:snapToGrid w:val="0"/>
          <w:kern w:val="0"/>
          <w:sz w:val="24"/>
          <w:szCs w:val="24"/>
          <w:lang w:val="zh-CN"/>
        </w:rPr>
        <w:t>。</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19.3未按要求密封和加写标记的响应文件为无效文件，采购人、采购代理机构将拒收。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19.4要求在磋商时提交样品的，应在样品上标明磋商供应商名称。有关提交及退还样品的相关规定见《供应商须知前附表》。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2" w:name="_Toc17857"/>
      <w:bookmarkStart w:id="93" w:name="_Toc470172686"/>
      <w:bookmarkStart w:id="94" w:name="_Toc15869"/>
      <w:r>
        <w:rPr>
          <w:rFonts w:hint="eastAsia" w:asciiTheme="minorEastAsia" w:hAnsiTheme="minorEastAsia" w:eastAsiaTheme="minorEastAsia" w:cstheme="minorEastAsia"/>
          <w:b/>
          <w:snapToGrid w:val="0"/>
          <w:kern w:val="0"/>
          <w:sz w:val="24"/>
          <w:szCs w:val="24"/>
          <w:lang w:val="zh-CN"/>
        </w:rPr>
        <w:t>响应文件的送达地点及截止时间</w:t>
      </w:r>
      <w:bookmarkEnd w:id="92"/>
      <w:bookmarkEnd w:id="93"/>
      <w:bookmarkEnd w:id="94"/>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20.1截止时间是竞争性磋商文件中规定的首次送达、提交响应文件的最后时间。本次磋商响应文件的送达地点及截止时间见《供应商须知前附表》。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5" w:name="_Toc470172687"/>
      <w:bookmarkStart w:id="96" w:name="_Toc26067"/>
      <w:bookmarkStart w:id="97" w:name="_Toc31376"/>
      <w:r>
        <w:rPr>
          <w:rFonts w:hint="eastAsia" w:asciiTheme="minorEastAsia" w:hAnsiTheme="minorEastAsia" w:eastAsiaTheme="minorEastAsia" w:cstheme="minorEastAsia"/>
          <w:b/>
          <w:snapToGrid w:val="0"/>
          <w:kern w:val="0"/>
          <w:sz w:val="24"/>
          <w:szCs w:val="24"/>
          <w:lang w:val="zh-CN"/>
        </w:rPr>
        <w:t>迟交的响应文件</w:t>
      </w:r>
      <w:bookmarkEnd w:id="95"/>
      <w:bookmarkEnd w:id="96"/>
      <w:bookmarkEnd w:id="9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21.1在本次递交响应文件的截止时间以后送达的响应文件，不论何种原因，采购代理机构将拒收。</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98" w:name="_Toc31760"/>
      <w:bookmarkStart w:id="99" w:name="_Toc470172688"/>
      <w:bookmarkStart w:id="100" w:name="_Toc4430"/>
      <w:r>
        <w:rPr>
          <w:rFonts w:hint="eastAsia" w:asciiTheme="minorEastAsia" w:hAnsiTheme="minorEastAsia" w:eastAsiaTheme="minorEastAsia" w:cstheme="minorEastAsia"/>
          <w:b/>
          <w:snapToGrid w:val="0"/>
          <w:kern w:val="0"/>
          <w:sz w:val="24"/>
          <w:szCs w:val="24"/>
          <w:lang w:val="zh-CN"/>
        </w:rPr>
        <w:t>响应文件的补充、修改或者撤回</w:t>
      </w:r>
      <w:bookmarkEnd w:id="98"/>
      <w:bookmarkEnd w:id="99"/>
      <w:bookmarkEnd w:id="10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22.1在提交响应文件截止时间前，供应商可以对已提交的响应文件进行补充、修改或者撤回。供应商需要补充、修改或者撤回响应文件时，应以书面形式通知采购人、采购代理机构。补充、修改的内容是响应文件的组成部分，补充、修改的内容与响应文件不一致的，以补充、修改的内容为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22.2从提交响应文件截止时间至磋商有效期期满这段时间，供应商不得修改或撤销其响应文件，否则其磋商保证金将不予以退还。</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22.3供应商所提交的响应文件在磋商结束后，无论成交与否都不退还。</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101" w:name="_Toc920"/>
      <w:bookmarkStart w:id="102" w:name="_Toc470172689"/>
      <w:r>
        <w:rPr>
          <w:rFonts w:hint="eastAsia" w:asciiTheme="minorEastAsia" w:hAnsiTheme="minorEastAsia" w:eastAsiaTheme="minorEastAsia" w:cstheme="minorEastAsia"/>
          <w:b/>
          <w:sz w:val="24"/>
          <w:szCs w:val="24"/>
        </w:rPr>
        <w:t>磋商程序</w:t>
      </w:r>
      <w:bookmarkEnd w:id="101"/>
      <w:bookmarkEnd w:id="102"/>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103" w:name="_Toc470172690"/>
      <w:bookmarkStart w:id="104" w:name="_Toc22624"/>
      <w:bookmarkStart w:id="105" w:name="_Toc30068"/>
      <w:r>
        <w:rPr>
          <w:rFonts w:hint="eastAsia" w:asciiTheme="minorEastAsia" w:hAnsiTheme="minorEastAsia" w:eastAsiaTheme="minorEastAsia" w:cstheme="minorEastAsia"/>
          <w:b/>
          <w:sz w:val="24"/>
          <w:szCs w:val="24"/>
        </w:rPr>
        <w:t>磋商小组</w:t>
      </w:r>
      <w:bookmarkEnd w:id="103"/>
      <w:bookmarkEnd w:id="104"/>
      <w:bookmarkEnd w:id="105"/>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23.1 采购人依照《中华人民共和国政府采购法》、《中华人民共和国政府采购法实施条例》、《政府采购竞争性磋商采购方式管理暂行办法》及现行法律规定组建磋商小组，磋商小组由采购人代表和评审专家共3人以上单数组成。磋商小组人数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23.2 磋商小组中的评审专家人数不少于磋商小组成员总数的2/3，采购人代表不得以评审专家身份参加本项目的评审，采购代理机构人员不得参加本项目的评审。评审专家的产生详见《供应商须知前附表》。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23.3 磋商小组所有成员按事先抽取的磋商顺序，集中与单一供应商分别进行磋商，并给予所有参加磋商的供应商平等的磋商机会。</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napToGrid w:val="0"/>
          <w:kern w:val="0"/>
          <w:sz w:val="24"/>
          <w:szCs w:val="24"/>
          <w:lang w:val="zh-CN"/>
        </w:rPr>
      </w:pPr>
      <w:bookmarkStart w:id="106" w:name="_Toc4326"/>
      <w:bookmarkStart w:id="107" w:name="_Toc470172691"/>
      <w:bookmarkStart w:id="108" w:name="_Toc21483"/>
      <w:r>
        <w:rPr>
          <w:rFonts w:hint="eastAsia" w:asciiTheme="minorEastAsia" w:hAnsiTheme="minorEastAsia" w:eastAsiaTheme="minorEastAsia" w:cstheme="minorEastAsia"/>
          <w:b/>
          <w:sz w:val="24"/>
          <w:szCs w:val="24"/>
        </w:rPr>
        <w:t>磋商代表</w:t>
      </w:r>
      <w:bookmarkEnd w:id="106"/>
      <w:bookmarkEnd w:id="107"/>
      <w:bookmarkEnd w:id="108"/>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bookmarkStart w:id="109" w:name="_Toc9967"/>
      <w:bookmarkStart w:id="110" w:name="_Toc32662"/>
      <w:r>
        <w:rPr>
          <w:rFonts w:hint="eastAsia" w:asciiTheme="minorEastAsia" w:hAnsiTheme="minorEastAsia" w:eastAsiaTheme="minorEastAsia" w:cstheme="minorEastAsia"/>
          <w:snapToGrid w:val="0"/>
          <w:kern w:val="0"/>
          <w:sz w:val="24"/>
          <w:szCs w:val="24"/>
          <w:lang w:val="zh-CN"/>
        </w:rPr>
        <w:t>24.1 参与磋商的供应商法定代表人或授权代表应携带本人身份证明参加磋商，授权代表参加磋商的，还应携带法定代表人授权书原件。磋商代表经磋商小组核对身份后，方可参加磋商。</w:t>
      </w:r>
      <w:bookmarkEnd w:id="109"/>
      <w:bookmarkEnd w:id="110"/>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1" w:name="_Toc18928"/>
      <w:r>
        <w:rPr>
          <w:rFonts w:hint="eastAsia" w:asciiTheme="minorEastAsia" w:hAnsiTheme="minorEastAsia" w:eastAsiaTheme="minorEastAsia" w:cstheme="minorEastAsia"/>
          <w:b/>
          <w:sz w:val="24"/>
          <w:szCs w:val="24"/>
        </w:rPr>
        <w:t>资格审查和符合性审查</w:t>
      </w:r>
      <w:bookmarkEnd w:id="11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25.1在正式磋商前，磋商小组按照本磋商文件第五章规定的程序、方法和标准，对供应商进行资格性审查和符合性审查，通过资格性审查和符合性审查的供应商方可进入磋商程序。资格性审查和符合性审查内容详见第五章“评审程序、方法及标准”。</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2" w:name="_Toc8543"/>
      <w:r>
        <w:rPr>
          <w:rFonts w:hint="eastAsia" w:asciiTheme="minorEastAsia" w:hAnsiTheme="minorEastAsia" w:eastAsiaTheme="minorEastAsia" w:cstheme="minorEastAsia"/>
          <w:b/>
          <w:sz w:val="24"/>
          <w:szCs w:val="24"/>
        </w:rPr>
        <w:t>磋商</w:t>
      </w:r>
      <w:bookmarkEnd w:id="11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26.1磋商小组将根据本磋商文件第五章规定的程序、方法和标准与供应商进行磋商。在磋商过程中，磋商的任何一方不得透露与磋商有关的其他供应商的技术资料、价格和其他信息。</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26.2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以书面形式同时通知所有磋商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26.3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26.4最后报价</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（1）磋商文件能够详细列明采购标的的技术、服务要求的，磋商结束后，磋商小组应当要求所有继续参加磋商的供应商在规定时间内提交最后报价，提交最后报价的供应商不得少于3家。</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已提交响应文件的供应商，在提交最后报价之前，可以根据磋商情况退出磋商。采购人、采购代理机构应当退还退出磋商的供应商的保证金。</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 xml:space="preserve">（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本采购项目提交最后报价供应商的确定方式详见《供应商须知前附表》。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26.5如有需要，磋商小组可进行多轮磋商，直至最终确定磋商文件中的技术、服务要求以及合同草案条款。</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26.6 磋商小组审核完最终报价后，根据磋商文件规定的评审程序、方法和标准推荐成交候选供应商或根据采购人的书面授权直接确定成交供应商。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26.7采购代理机构对磋商过程和重要磋商内容进行记录，磋商双方在记录上签字确认。</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3" w:name="_Toc25949"/>
      <w:r>
        <w:rPr>
          <w:rFonts w:hint="eastAsia" w:asciiTheme="minorEastAsia" w:hAnsiTheme="minorEastAsia" w:eastAsiaTheme="minorEastAsia" w:cstheme="minorEastAsia"/>
          <w:b/>
          <w:sz w:val="24"/>
          <w:szCs w:val="24"/>
        </w:rPr>
        <w:t>推荐成交候选供应商</w:t>
      </w:r>
      <w:bookmarkEnd w:id="113"/>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27.1本项目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本项目具体评审因素的量化指标详见第五章“评审程序、方法及标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27.2磋商小组根据综合评分情况，按照评审得分由高到低的顺序及《供应商须知前附表》规定的数量推荐成交候选供应商，并编写评审报告。评审报告应当有磋商小组全体成员签字认可。</w:t>
      </w:r>
    </w:p>
    <w:p>
      <w:pPr>
        <w:numPr>
          <w:ilvl w:val="1"/>
          <w:numId w:val="2"/>
        </w:numPr>
        <w:tabs>
          <w:tab w:val="left" w:pos="540"/>
          <w:tab w:val="clear" w:pos="840"/>
        </w:tabs>
        <w:snapToGrid w:val="0"/>
        <w:spacing w:line="360" w:lineRule="auto"/>
        <w:ind w:left="540" w:hanging="540"/>
        <w:outlineLvl w:val="1"/>
        <w:rPr>
          <w:rFonts w:asciiTheme="minorEastAsia" w:hAnsiTheme="minorEastAsia" w:eastAsiaTheme="minorEastAsia" w:cstheme="minorEastAsia"/>
          <w:b/>
          <w:sz w:val="24"/>
          <w:szCs w:val="24"/>
        </w:rPr>
      </w:pPr>
      <w:bookmarkStart w:id="114" w:name="_Toc470172692"/>
      <w:bookmarkStart w:id="115" w:name="_Toc1198"/>
      <w:r>
        <w:rPr>
          <w:rFonts w:hint="eastAsia" w:asciiTheme="minorEastAsia" w:hAnsiTheme="minorEastAsia" w:eastAsiaTheme="minorEastAsia" w:cstheme="minorEastAsia"/>
          <w:b/>
          <w:sz w:val="24"/>
          <w:szCs w:val="24"/>
        </w:rPr>
        <w:t>成交与签订合同</w:t>
      </w:r>
      <w:bookmarkEnd w:id="114"/>
      <w:bookmarkEnd w:id="115"/>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6" w:name="_Toc17999"/>
      <w:r>
        <w:rPr>
          <w:rFonts w:hint="eastAsia" w:asciiTheme="minorEastAsia" w:hAnsiTheme="minorEastAsia" w:eastAsiaTheme="minorEastAsia" w:cstheme="minorEastAsia"/>
          <w:b/>
          <w:sz w:val="24"/>
          <w:szCs w:val="24"/>
        </w:rPr>
        <w:t>确定成交供应商</w:t>
      </w:r>
      <w:bookmarkEnd w:id="116"/>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28.1采购代理机构应当在评审结束后2个工作日内将评审报告送采购人确认。</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28.2采购人应当在收到评审报告后5个工作日内，从评审报告提出的成交候选供应商中，按照推荐排序确定成交供应商，也可以书面授权磋商小组直接确定成交供应商。采购人逾期未确定成交供应商且不提出异议的，视为确定评审报告提出的排序第一的供应商为成交供应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28.3采购人或者采购代理机构应当在成交供应商确定后2个工作日内，在省级以上财政部门指定的政府采购信息发布媒体上公告成交结果，同时向成交供应商发出成交通知书，并将磋商文件随成交结果同时公告。</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28.4成交通知书的领取时间详见《供应商须知前附表》。</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17" w:name="_Toc15969"/>
      <w:r>
        <w:rPr>
          <w:rFonts w:hint="eastAsia" w:asciiTheme="minorEastAsia" w:hAnsiTheme="minorEastAsia" w:eastAsiaTheme="minorEastAsia" w:cstheme="minorEastAsia"/>
          <w:b/>
          <w:sz w:val="24"/>
          <w:szCs w:val="24"/>
        </w:rPr>
        <w:t>签订合同</w:t>
      </w:r>
      <w:bookmarkEnd w:id="117"/>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29.1磋商文件对履约保证金有规定的，成交供应商应按规定在签订合同前交纳履约保证金。有关履约保证金的规定详见《供应商须知前附表》。</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sz w:val="24"/>
          <w:szCs w:val="24"/>
          <w:lang w:val="zh-CN"/>
        </w:rPr>
        <w:t>29.2采购人与成交供应商应当在成交通知书发出之日起30日内，按照磋商文件确定的合同文本以及采购标的、规格型号、采购金额、采购数量、技术和服务要求等事项签订政府采购合同。</w:t>
      </w:r>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采购人应当自政府采购合同签订之日起2个工作日内，将政府采购合同在省级以上人民政府指定的媒体上公告，但政府采购合同中涉及国家秘密、商业秘密的内容除外。</w:t>
      </w:r>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29.3</w:t>
      </w:r>
      <w:r>
        <w:rPr>
          <w:rFonts w:hint="eastAsia" w:asciiTheme="minorEastAsia" w:hAnsiTheme="minorEastAsia" w:eastAsiaTheme="minorEastAsia" w:cstheme="minorEastAsia"/>
          <w:sz w:val="24"/>
          <w:szCs w:val="24"/>
          <w:lang w:val="zh-CN"/>
        </w:rPr>
        <w:t>成交供应商拒绝签订政府采购合同的，采购人可以《政府采购竞争性磋商采购方式管理暂行办法》（财库[2014]214号）第二十八条第二款规定的原则确定其他供应商作为成交供应商并签订政府采购合同，也可以重新开展采购活动。拒绝签订政府采购合同的成交供应商不得参加对该项目重新开展的采购活动。</w:t>
      </w:r>
    </w:p>
    <w:p>
      <w:pPr>
        <w:tabs>
          <w:tab w:val="left" w:pos="540"/>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sz w:val="24"/>
          <w:szCs w:val="24"/>
          <w:lang w:val="zh-CN"/>
        </w:rPr>
        <w:t>29.4除不可抗力等因素外，成交通知书发出后，采购人改变成交结果，或者成交供应商拒绝签订政府采购合同的，应当承担相应的法律责任。</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18" w:name="_Toc3127"/>
      <w:bookmarkStart w:id="119" w:name="_Toc470172693"/>
      <w:r>
        <w:rPr>
          <w:rFonts w:hint="eastAsia" w:asciiTheme="minorEastAsia" w:hAnsiTheme="minorEastAsia" w:eastAsiaTheme="minorEastAsia" w:cstheme="minorEastAsia"/>
          <w:b/>
          <w:snapToGrid w:val="0"/>
          <w:kern w:val="0"/>
          <w:sz w:val="24"/>
          <w:szCs w:val="24"/>
          <w:lang w:val="zh-CN"/>
        </w:rPr>
        <w:t>七、质疑和投诉</w:t>
      </w:r>
      <w:bookmarkEnd w:id="118"/>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0" w:name="_Toc31167"/>
      <w:r>
        <w:rPr>
          <w:rFonts w:hint="eastAsia" w:asciiTheme="minorEastAsia" w:hAnsiTheme="minorEastAsia" w:eastAsiaTheme="minorEastAsia" w:cstheme="minorEastAsia"/>
          <w:b/>
          <w:sz w:val="24"/>
          <w:szCs w:val="24"/>
        </w:rPr>
        <w:t>质疑</w:t>
      </w:r>
      <w:bookmarkEnd w:id="120"/>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30.1供应商认为磋商文件、磋商过程和成交结果使自己的权益受到损害的，可以在知道或者应知其权益受到损害之日起7个工作日内，以书面形式向采购人或采购代理机构提出质疑。</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30.2质疑书应当包括下列主要内容：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（1）质疑人的名称、地址、联系人及联系电话等；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（2）被质疑人的名称、地址、联系人及联系电话等；</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（3）质疑项目名称及编号、质疑事项和明确的请求；</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（4）质疑事项的事实根据、法律依据及其他必要的证明材料；质疑人提供的证明材料属于其他供应商投标（响应）文件未公开内容的，应当提供书面材料证明其合法来源；</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（5）提出质疑的日期；</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（6）质疑人的署名及签章（质疑人为自然人的，应当由本人签字；质疑人为法人或者其他组织的，应当由法定代表人或者主要负责人签字盖章并加盖公章）；</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（7）法人授权委托书（质疑人或法人委托代理人办理质疑事务的，应当提供授权委托书，授权委托书应当载明委托代理的具体权限和事项）。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质疑书不符合上述要求的，采购人或代理机构应书面告知具体事项，质疑人应当按要求进行修改或补充，并在质疑有效期限内提交。</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1" w:name="_Toc121"/>
      <w:r>
        <w:rPr>
          <w:rFonts w:hint="eastAsia" w:asciiTheme="minorEastAsia" w:hAnsiTheme="minorEastAsia" w:eastAsiaTheme="minorEastAsia" w:cstheme="minorEastAsia"/>
          <w:b/>
          <w:sz w:val="24"/>
          <w:szCs w:val="24"/>
        </w:rPr>
        <w:t>质疑回复</w:t>
      </w:r>
      <w:bookmarkEnd w:id="121"/>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31.1采购人或采购代理机构应当在收到供应商的书面质疑后7个工作日内作出答复，并以书面形式通知质疑供应商和其他有关供应商，但答复的内容不得涉及商业秘密。</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31.2质疑答复应当包括下列内容：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（1）质疑人的名称、地址、联系人及联系电话；</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（2）采购人或采购代理机构（委托项目一并列出）的名称、地址、联系人及联系电话；</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（3）受理质疑的日期、质疑项目名称及编号、质疑事项；</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（4）质疑事项答复的具体情况及事实根据、法律依据；</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（5）告知质疑人依法投诉的权利和投诉方式；</w:t>
      </w:r>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（6）质疑答复日期。</w:t>
      </w:r>
    </w:p>
    <w:p>
      <w:pPr>
        <w:numPr>
          <w:ilvl w:val="0"/>
          <w:numId w:val="3"/>
        </w:numPr>
        <w:tabs>
          <w:tab w:val="left" w:pos="864"/>
          <w:tab w:val="left" w:pos="1080"/>
        </w:tabs>
        <w:snapToGrid w:val="0"/>
        <w:spacing w:line="360" w:lineRule="auto"/>
        <w:ind w:hanging="540"/>
        <w:outlineLvl w:val="1"/>
        <w:rPr>
          <w:rFonts w:asciiTheme="minorEastAsia" w:hAnsiTheme="minorEastAsia" w:eastAsiaTheme="minorEastAsia" w:cstheme="minorEastAsia"/>
          <w:b/>
          <w:sz w:val="24"/>
          <w:szCs w:val="24"/>
        </w:rPr>
      </w:pPr>
      <w:bookmarkStart w:id="122" w:name="_Toc16650"/>
      <w:r>
        <w:rPr>
          <w:rFonts w:hint="eastAsia" w:asciiTheme="minorEastAsia" w:hAnsiTheme="minorEastAsia" w:eastAsiaTheme="minorEastAsia" w:cstheme="minorEastAsia"/>
          <w:b/>
          <w:sz w:val="24"/>
          <w:szCs w:val="24"/>
        </w:rPr>
        <w:t>投诉</w:t>
      </w:r>
      <w:bookmarkEnd w:id="122"/>
    </w:p>
    <w:p>
      <w:pPr>
        <w:tabs>
          <w:tab w:val="left" w:pos="426"/>
        </w:tabs>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32.1质疑供应商对采购人、采购代理机构的答复不满意或者采购人、采购代理机构未在规定的时间内作出答复的，可以在答复期满后15个工作日内向同级政府采购监督管理部门投诉。供应商投诉应当有明确的请求和必要的证明材料，且投诉的事项不得超出已质疑事项的范围。</w:t>
      </w:r>
    </w:p>
    <w:p>
      <w:pPr>
        <w:tabs>
          <w:tab w:val="left" w:pos="426"/>
        </w:tabs>
        <w:autoSpaceDE w:val="0"/>
        <w:autoSpaceDN w:val="0"/>
        <w:adjustRightInd w:val="0"/>
        <w:snapToGrid w:val="0"/>
        <w:spacing w:line="360" w:lineRule="auto"/>
        <w:ind w:firstLine="480" w:firstLineChars="200"/>
        <w:jc w:val="left"/>
        <w:rPr>
          <w:rFonts w:hint="eastAsia"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32.2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pPr>
        <w:tabs>
          <w:tab w:val="left" w:pos="540"/>
        </w:tabs>
        <w:snapToGrid w:val="0"/>
        <w:spacing w:line="360" w:lineRule="auto"/>
        <w:outlineLvl w:val="1"/>
        <w:rPr>
          <w:rFonts w:hint="eastAsia" w:asciiTheme="minorEastAsia" w:hAnsiTheme="minorEastAsia" w:eastAsiaTheme="minorEastAsia" w:cstheme="minorEastAsia"/>
          <w:b/>
          <w:snapToGrid w:val="0"/>
          <w:kern w:val="0"/>
          <w:sz w:val="24"/>
          <w:szCs w:val="24"/>
          <w:lang w:val="en-US" w:eastAsia="zh-CN"/>
        </w:rPr>
      </w:pPr>
      <w:r>
        <w:rPr>
          <w:rFonts w:hint="eastAsia" w:asciiTheme="minorEastAsia" w:hAnsiTheme="minorEastAsia" w:eastAsiaTheme="minorEastAsia" w:cstheme="minorEastAsia"/>
          <w:b/>
          <w:snapToGrid w:val="0"/>
          <w:kern w:val="0"/>
          <w:sz w:val="24"/>
          <w:szCs w:val="24"/>
          <w:lang w:val="en-US" w:eastAsia="zh-CN"/>
        </w:rPr>
        <w:t>八、政府采购政策</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3" w:name="_Toc30990"/>
      <w:r>
        <w:rPr>
          <w:rFonts w:hint="eastAsia" w:asciiTheme="minorEastAsia" w:hAnsiTheme="minorEastAsia" w:eastAsiaTheme="minorEastAsia" w:cstheme="minorEastAsia"/>
          <w:b/>
          <w:snapToGrid w:val="0"/>
          <w:kern w:val="0"/>
          <w:sz w:val="24"/>
          <w:szCs w:val="24"/>
        </w:rPr>
        <w:t>33</w:t>
      </w:r>
      <w:r>
        <w:rPr>
          <w:rFonts w:hint="eastAsia" w:asciiTheme="minorEastAsia" w:hAnsiTheme="minorEastAsia" w:eastAsiaTheme="minorEastAsia" w:cstheme="minorEastAsia"/>
          <w:b/>
          <w:snapToGrid w:val="0"/>
          <w:kern w:val="0"/>
          <w:sz w:val="24"/>
          <w:szCs w:val="24"/>
          <w:lang w:val="zh-CN"/>
        </w:rPr>
        <w:t>、政府采购政策（如适用）</w:t>
      </w:r>
      <w:bookmarkEnd w:id="123"/>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 除非</w:t>
      </w:r>
      <w:r>
        <w:rPr>
          <w:rFonts w:hint="eastAsia" w:asciiTheme="minorEastAsia" w:hAnsiTheme="minorEastAsia" w:eastAsiaTheme="minorEastAsia" w:cstheme="minorEastAsia"/>
          <w:b/>
          <w:sz w:val="24"/>
          <w:szCs w:val="24"/>
        </w:rPr>
        <w:t>“供应商须知前附表”</w:t>
      </w:r>
      <w:r>
        <w:rPr>
          <w:rFonts w:hint="eastAsia" w:asciiTheme="minorEastAsia" w:hAnsiTheme="minorEastAsia" w:eastAsiaTheme="minorEastAsia" w:cstheme="minorEastAsia"/>
          <w:sz w:val="24"/>
          <w:szCs w:val="24"/>
        </w:rPr>
        <w:t>中有特殊规定，本项目所采购的货物应当为中华人民共和国境内提供。</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Theme="minorEastAsia" w:hAnsiTheme="minorEastAsia" w:eastAsiaTheme="minorEastAsia" w:cstheme="minorEastAsia"/>
          <w:sz w:val="24"/>
          <w:szCs w:val="24"/>
        </w:rPr>
        <w:t xml:space="preserve">33.2 </w:t>
      </w:r>
      <w:r>
        <w:rPr>
          <w:rFonts w:hint="eastAsia" w:ascii="宋体" w:hAnsi="宋体" w:cs="仿宋_GB2312"/>
          <w:snapToGrid w:val="0"/>
          <w:sz w:val="24"/>
          <w:lang w:val="zh-CN"/>
        </w:rPr>
        <w:t>为促进中小企业发展，依据财政部、工业和信息化部《</w:t>
      </w:r>
      <w:r>
        <w:rPr>
          <w:rFonts w:ascii="宋体" w:hAnsi="宋体" w:cs="仿宋_GB2312"/>
          <w:snapToGrid w:val="0"/>
          <w:sz w:val="24"/>
          <w:lang w:val="zh-CN"/>
        </w:rPr>
        <w:t>关于印发</w:t>
      </w:r>
      <w:r>
        <w:rPr>
          <w:rFonts w:hint="eastAsia" w:ascii="宋体" w:hAnsi="宋体" w:cs="仿宋_GB2312"/>
          <w:snapToGrid w:val="0"/>
          <w:sz w:val="24"/>
          <w:lang w:val="zh-CN"/>
        </w:rPr>
        <w:t>&lt;</w:t>
      </w:r>
      <w:r>
        <w:rPr>
          <w:rFonts w:ascii="宋体" w:hAnsi="宋体" w:cs="仿宋_GB2312"/>
          <w:snapToGrid w:val="0"/>
          <w:sz w:val="24"/>
          <w:lang w:val="zh-CN"/>
        </w:rPr>
        <w:t>政府采购促进中小企业发展管理办法</w:t>
      </w:r>
      <w:r>
        <w:rPr>
          <w:rFonts w:hint="eastAsia" w:ascii="宋体" w:hAnsi="宋体" w:cs="仿宋_GB2312"/>
          <w:snapToGrid w:val="0"/>
          <w:sz w:val="24"/>
          <w:lang w:val="zh-CN"/>
        </w:rPr>
        <w:t>&gt;</w:t>
      </w:r>
      <w:r>
        <w:rPr>
          <w:rFonts w:ascii="宋体" w:hAnsi="宋体" w:cs="仿宋_GB2312"/>
          <w:snapToGrid w:val="0"/>
          <w:sz w:val="24"/>
          <w:lang w:val="zh-CN"/>
        </w:rPr>
        <w:t>的通知</w:t>
      </w:r>
      <w:r>
        <w:rPr>
          <w:rFonts w:hint="eastAsia" w:ascii="宋体" w:hAnsi="宋体" w:cs="仿宋_GB2312"/>
          <w:snapToGrid w:val="0"/>
          <w:sz w:val="24"/>
          <w:lang w:val="zh-CN"/>
        </w:rPr>
        <w:t>》（财库[2020]46号）、财政部 司法部《关于政府采购支持监狱企业发展有关问题的通知》（财库[2014]68号）、财政部 民政部 中国残疾人联合会《关于促进残疾人就业政府采购政策的通知》（财库[2017]141号），本项目供应商如符合上述文件规定的，需提供《中小企业声明函》、监狱企业证明文件、</w:t>
      </w:r>
      <w:r>
        <w:rPr>
          <w:rFonts w:ascii="宋体" w:hAnsi="宋体" w:cs="仿宋_GB2312"/>
          <w:snapToGrid w:val="0"/>
          <w:sz w:val="24"/>
          <w:lang w:val="zh-CN"/>
        </w:rPr>
        <w:t>《残疾人福利性单位声明函》</w:t>
      </w:r>
      <w:r>
        <w:rPr>
          <w:rFonts w:hint="eastAsia" w:ascii="宋体" w:hAnsi="宋体" w:cs="仿宋_GB2312"/>
          <w:snapToGrid w:val="0"/>
          <w:sz w:val="24"/>
          <w:lang w:val="zh-CN"/>
        </w:rPr>
        <w:t>，评审时将对供应商报价给予一定比例的扣除，用扣除后的价格参与评审。具体扣除比例详见《供应商须知前附表》。</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宋体" w:hAnsi="宋体" w:cs="仿宋_GB2312"/>
          <w:snapToGrid w:val="0"/>
          <w:sz w:val="24"/>
          <w:lang w:val="zh-CN"/>
        </w:rPr>
        <w:t>依据湖北省财政厅 湖北省公共资源交易监督管理局《关于落实稳住经济一揽子政策进一步加大政府采购支持中小企业力度的通知》（鄂财采发〔202</w:t>
      </w:r>
      <w:r>
        <w:rPr>
          <w:rFonts w:ascii="宋体" w:hAnsi="宋体" w:cs="仿宋_GB2312"/>
          <w:snapToGrid w:val="0"/>
          <w:sz w:val="24"/>
          <w:lang w:val="zh-CN"/>
        </w:rPr>
        <w:t>2</w:t>
      </w:r>
      <w:r>
        <w:rPr>
          <w:rFonts w:hint="eastAsia" w:ascii="宋体" w:hAnsi="宋体" w:cs="仿宋_GB2312"/>
          <w:snapToGrid w:val="0"/>
          <w:sz w:val="24"/>
          <w:lang w:val="zh-CN"/>
        </w:rPr>
        <w:t>〕5号）的规定，</w:t>
      </w:r>
      <w:r>
        <w:rPr>
          <w:rFonts w:ascii="宋体" w:hAnsi="宋体" w:cs="仿宋_GB2312"/>
          <w:snapToGrid w:val="0"/>
          <w:sz w:val="24"/>
          <w:lang w:val="zh-CN"/>
        </w:rPr>
        <w:t>货物服务采购项目给予小微企业的价格扣除优惠，由财库〔2020〕46号文件规定的</w:t>
      </w:r>
      <w:r>
        <w:rPr>
          <w:rFonts w:hint="eastAsia" w:ascii="宋体" w:hAnsi="宋体" w:cs="仿宋_GB2312"/>
          <w:snapToGrid w:val="0"/>
          <w:sz w:val="24"/>
          <w:lang w:val="zh-CN"/>
        </w:rPr>
        <w:t xml:space="preserve"> </w:t>
      </w:r>
      <w:r>
        <w:rPr>
          <w:rFonts w:ascii="宋体" w:hAnsi="宋体" w:cs="仿宋_GB2312"/>
          <w:snapToGrid w:val="0"/>
          <w:sz w:val="24"/>
          <w:lang w:val="zh-CN"/>
        </w:rPr>
        <w:t>6%—10%提高至</w:t>
      </w:r>
      <w:r>
        <w:rPr>
          <w:rFonts w:hint="eastAsia" w:ascii="宋体" w:hAnsi="宋体" w:cs="仿宋_GB2312"/>
          <w:snapToGrid w:val="0"/>
          <w:sz w:val="24"/>
          <w:lang w:val="zh-CN"/>
        </w:rPr>
        <w:t xml:space="preserve"> </w:t>
      </w:r>
      <w:r>
        <w:rPr>
          <w:rFonts w:ascii="宋体" w:hAnsi="宋体" w:cs="仿宋_GB2312"/>
          <w:snapToGrid w:val="0"/>
          <w:sz w:val="24"/>
          <w:lang w:val="zh-CN"/>
        </w:rPr>
        <w:t>10%—20%。大中型企业与小微企业组成联合体或者大中型企业向小微企业分包的，评审优惠幅度由</w:t>
      </w:r>
      <w:r>
        <w:rPr>
          <w:rFonts w:hint="eastAsia" w:ascii="宋体" w:hAnsi="宋体" w:cs="仿宋_GB2312"/>
          <w:snapToGrid w:val="0"/>
          <w:sz w:val="24"/>
          <w:lang w:val="zh-CN"/>
        </w:rPr>
        <w:t xml:space="preserve"> </w:t>
      </w:r>
      <w:r>
        <w:rPr>
          <w:rFonts w:ascii="宋体" w:hAnsi="宋体" w:cs="仿宋_GB2312"/>
          <w:snapToGrid w:val="0"/>
          <w:sz w:val="24"/>
          <w:lang w:val="zh-CN"/>
        </w:rPr>
        <w:t>2%—3%提高至</w:t>
      </w:r>
      <w:r>
        <w:rPr>
          <w:rFonts w:hint="eastAsia" w:ascii="宋体" w:hAnsi="宋体" w:cs="仿宋_GB2312"/>
          <w:snapToGrid w:val="0"/>
          <w:sz w:val="24"/>
          <w:lang w:val="zh-CN"/>
        </w:rPr>
        <w:t xml:space="preserve"> </w:t>
      </w:r>
      <w:r>
        <w:rPr>
          <w:rFonts w:ascii="宋体" w:hAnsi="宋体" w:cs="仿宋_GB2312"/>
          <w:snapToGrid w:val="0"/>
          <w:sz w:val="24"/>
          <w:lang w:val="zh-CN"/>
        </w:rPr>
        <w:t>4%—6%。政府采购工程的价格评审优惠按照财库〔2020〕46号文件中对应的 3%—5%、1%—2%的规定执行。对小微企业中的残疾人企业、监狱企业、采购产品纳入创新产品应用示范推荐目录内企业、采购产品获得节能产品或环境标志产品认证证书的企业，以价格评审优惠幅度的上限给予评审优惠</w:t>
      </w:r>
      <w:r>
        <w:rPr>
          <w:rFonts w:hint="eastAsia" w:ascii="宋体" w:hAnsi="宋体" w:cs="仿宋_GB2312"/>
          <w:snapToGrid w:val="0"/>
          <w:sz w:val="24"/>
          <w:lang w:val="zh-CN"/>
        </w:rPr>
        <w:t>。</w:t>
      </w:r>
    </w:p>
    <w:p>
      <w:pPr>
        <w:tabs>
          <w:tab w:val="left" w:pos="426"/>
        </w:tabs>
        <w:autoSpaceDE w:val="0"/>
        <w:autoSpaceDN w:val="0"/>
        <w:adjustRightInd w:val="0"/>
        <w:snapToGrid w:val="0"/>
        <w:spacing w:line="360" w:lineRule="auto"/>
        <w:ind w:firstLine="480" w:firstLineChars="200"/>
        <w:rPr>
          <w:rFonts w:ascii="宋体" w:hAnsi="宋体" w:cs="仿宋_GB2312"/>
          <w:snapToGrid w:val="0"/>
          <w:sz w:val="24"/>
          <w:lang w:val="zh-CN"/>
        </w:rPr>
      </w:pPr>
      <w:r>
        <w:rPr>
          <w:rFonts w:hint="eastAsia" w:ascii="宋体" w:hAnsi="宋体" w:cs="仿宋_GB2312"/>
          <w:snapToGrid w:val="0"/>
          <w:sz w:val="24"/>
          <w:lang w:val="zh-CN"/>
        </w:rPr>
        <w:t>对中小企业在资金支付期限方面的优惠措施：按《湖北省财政厅湖北省经济和信息化厅关于进一步加强政府采购促进中小企业发展的通知》鄂财采发〔2021〕8 号执行。</w:t>
      </w:r>
    </w:p>
    <w:p>
      <w:pPr>
        <w:snapToGrid w:val="0"/>
        <w:spacing w:line="360" w:lineRule="auto"/>
        <w:ind w:firstLine="410" w:firstLineChars="171"/>
        <w:rPr>
          <w:rFonts w:asciiTheme="minorEastAsia" w:hAnsiTheme="minorEastAsia" w:eastAsiaTheme="minorEastAsia" w:cstheme="minorEastAsia"/>
          <w:sz w:val="24"/>
          <w:szCs w:val="24"/>
        </w:rPr>
      </w:pPr>
      <w:r>
        <w:rPr>
          <w:rFonts w:hint="eastAsia" w:ascii="宋体" w:hAnsi="宋体" w:cs="仿宋_GB2312"/>
          <w:snapToGrid w:val="0"/>
          <w:sz w:val="24"/>
          <w:lang w:val="zh-CN"/>
        </w:rPr>
        <w:t>中小企业划型标准详见附件：工业和信息化部 国家统计局 国家发展和改革委员会 财政部《中小企业划型标准规定》（工信部联企业〔2011〕300号）</w:t>
      </w:r>
      <w:r>
        <w:rPr>
          <w:rFonts w:hint="eastAsia" w:asciiTheme="minorEastAsia" w:hAnsiTheme="minorEastAsia" w:eastAsiaTheme="minorEastAsia" w:cstheme="minorEastAsia"/>
          <w:sz w:val="24"/>
          <w:szCs w:val="24"/>
        </w:rPr>
        <w:t>。</w:t>
      </w:r>
    </w:p>
    <w:p>
      <w:pPr>
        <w:snapToGrid w:val="0"/>
        <w:spacing w:line="360" w:lineRule="auto"/>
        <w:ind w:firstLine="412" w:firstLineChars="171"/>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33.3根据《国务院办公厅关于建立政府强制采购节能产品制度的通知》（国办发〔2007〕51号）规定，供应商所投产品如属于政府强制采购节能产品范围，则该产品必须在最新一期“节能产品政府采购清单”中，评审时</w:t>
      </w:r>
      <w:r>
        <w:rPr>
          <w:rFonts w:hint="eastAsia" w:asciiTheme="minorEastAsia" w:hAnsiTheme="minorEastAsia" w:eastAsiaTheme="minorEastAsia" w:cstheme="minorEastAsia"/>
          <w:b/>
          <w:bCs/>
          <w:kern w:val="0"/>
          <w:sz w:val="24"/>
          <w:szCs w:val="24"/>
        </w:rPr>
        <w:t>不给予价格扣除。</w:t>
      </w:r>
      <w:r>
        <w:rPr>
          <w:rFonts w:hint="eastAsia" w:asciiTheme="minorEastAsia" w:hAnsiTheme="minorEastAsia" w:eastAsiaTheme="minorEastAsia" w:cstheme="minorEastAsia"/>
          <w:b/>
          <w:bCs/>
          <w:sz w:val="24"/>
          <w:szCs w:val="24"/>
        </w:rPr>
        <w:t>供应商所投产品如属于政府优先采购节能产品范围，可按照“供应商须知前附表”中相关规定，对该项产品的价格给予一定比例的扣除，用扣除后的价格参与评审。具体扣除比例详见“供应商须知前附表”。</w:t>
      </w:r>
    </w:p>
    <w:p>
      <w:pPr>
        <w:snapToGrid w:val="0"/>
        <w:spacing w:line="360" w:lineRule="auto"/>
        <w:ind w:firstLine="412" w:firstLineChars="17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33.4</w:t>
      </w:r>
      <w:r>
        <w:rPr>
          <w:rFonts w:hint="eastAsia" w:asciiTheme="minorEastAsia" w:hAnsiTheme="minorEastAsia" w:eastAsiaTheme="minorEastAsia" w:cstheme="minorEastAsia"/>
          <w:b/>
          <w:bCs/>
          <w:sz w:val="24"/>
          <w:szCs w:val="24"/>
        </w:rPr>
        <w:t>支持监狱企业发展评审优惠</w:t>
      </w:r>
    </w:p>
    <w:p>
      <w:pPr>
        <w:snapToGrid w:val="0"/>
        <w:spacing w:line="360" w:lineRule="auto"/>
        <w:ind w:firstLine="410" w:firstLineChars="171"/>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见《供应商须知前附表》</w:t>
      </w:r>
    </w:p>
    <w:p>
      <w:pPr>
        <w:snapToGrid w:val="0"/>
        <w:spacing w:line="360" w:lineRule="auto"/>
        <w:ind w:firstLine="412" w:firstLineChars="171"/>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33.5促进残疾人就业评审优惠</w:t>
      </w:r>
    </w:p>
    <w:p>
      <w:pPr>
        <w:snapToGrid w:val="0"/>
        <w:spacing w:line="360" w:lineRule="auto"/>
        <w:ind w:firstLine="410" w:firstLineChars="171"/>
        <w:rPr>
          <w:rFonts w:hint="eastAsia" w:asciiTheme="minorEastAsia" w:hAnsiTheme="minorEastAsia" w:eastAsiaTheme="minorEastAsia" w:cstheme="minorEastAsia"/>
          <w:b w:val="0"/>
          <w:bCs w:val="0"/>
          <w:sz w:val="24"/>
          <w:szCs w:val="24"/>
          <w:lang w:val="en-US" w:eastAsia="zh-CN"/>
        </w:rPr>
      </w:pPr>
      <w:bookmarkStart w:id="124" w:name="_Toc15370"/>
      <w:r>
        <w:rPr>
          <w:rFonts w:hint="eastAsia" w:asciiTheme="minorEastAsia" w:hAnsiTheme="minorEastAsia" w:eastAsiaTheme="minorEastAsia" w:cstheme="minorEastAsia"/>
          <w:b w:val="0"/>
          <w:bCs w:val="0"/>
          <w:sz w:val="24"/>
          <w:szCs w:val="24"/>
          <w:lang w:val="en-US" w:eastAsia="zh-CN"/>
        </w:rPr>
        <w:t>见《供应商须知前附表》</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r>
        <w:rPr>
          <w:rFonts w:hint="eastAsia" w:asciiTheme="minorEastAsia" w:hAnsiTheme="minorEastAsia" w:eastAsiaTheme="minorEastAsia" w:cstheme="minorEastAsia"/>
          <w:b/>
          <w:snapToGrid w:val="0"/>
          <w:kern w:val="0"/>
          <w:sz w:val="24"/>
          <w:szCs w:val="24"/>
          <w:lang w:val="zh-CN"/>
        </w:rPr>
        <w:t>九、其他要求</w:t>
      </w:r>
      <w:bookmarkEnd w:id="119"/>
      <w:bookmarkEnd w:id="124"/>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见《供应商须知前附表》。</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5" w:name="_Toc26991"/>
      <w:bookmarkStart w:id="126" w:name="_Toc470172694"/>
      <w:r>
        <w:rPr>
          <w:rFonts w:hint="eastAsia" w:asciiTheme="minorEastAsia" w:hAnsiTheme="minorEastAsia" w:eastAsiaTheme="minorEastAsia" w:cstheme="minorEastAsia"/>
          <w:b/>
          <w:snapToGrid w:val="0"/>
          <w:kern w:val="0"/>
          <w:sz w:val="24"/>
          <w:szCs w:val="24"/>
          <w:lang w:val="zh-CN"/>
        </w:rPr>
        <w:t>十、适用法律</w:t>
      </w:r>
      <w:bookmarkEnd w:id="125"/>
      <w:bookmarkEnd w:id="126"/>
    </w:p>
    <w:p>
      <w:pPr>
        <w:autoSpaceDE w:val="0"/>
        <w:autoSpaceDN w:val="0"/>
        <w:adjustRightInd w:val="0"/>
        <w:snapToGrid w:val="0"/>
        <w:spacing w:line="360" w:lineRule="auto"/>
        <w:ind w:firstLine="480" w:firstLineChars="200"/>
        <w:jc w:val="left"/>
        <w:rPr>
          <w:rFonts w:asciiTheme="minorEastAsia" w:hAnsiTheme="minorEastAsia" w:eastAsiaTheme="minorEastAsia" w:cstheme="minorEastAsia"/>
          <w:snapToGrid w:val="0"/>
          <w:kern w:val="0"/>
          <w:sz w:val="24"/>
          <w:szCs w:val="24"/>
          <w:lang w:val="zh-CN"/>
        </w:rPr>
      </w:pPr>
      <w:r>
        <w:rPr>
          <w:rFonts w:hint="eastAsia" w:asciiTheme="minorEastAsia" w:hAnsiTheme="minorEastAsia" w:eastAsiaTheme="minorEastAsia" w:cstheme="minorEastAsia"/>
          <w:snapToGrid w:val="0"/>
          <w:kern w:val="0"/>
          <w:sz w:val="24"/>
          <w:szCs w:val="24"/>
          <w:lang w:val="zh-CN"/>
        </w:rPr>
        <w:t>采购人、采购代理机构及供应商的一切采购活动均适用于《政府采购法》及相关规定。</w:t>
      </w:r>
    </w:p>
    <w:p>
      <w:pPr>
        <w:tabs>
          <w:tab w:val="left" w:pos="540"/>
        </w:tabs>
        <w:snapToGrid w:val="0"/>
        <w:spacing w:line="360" w:lineRule="auto"/>
        <w:outlineLvl w:val="1"/>
        <w:rPr>
          <w:rFonts w:asciiTheme="minorEastAsia" w:hAnsiTheme="minorEastAsia" w:eastAsiaTheme="minorEastAsia" w:cstheme="minorEastAsia"/>
          <w:b/>
          <w:snapToGrid w:val="0"/>
          <w:kern w:val="0"/>
          <w:sz w:val="24"/>
          <w:szCs w:val="24"/>
          <w:lang w:val="zh-CN"/>
        </w:rPr>
      </w:pPr>
      <w:bookmarkStart w:id="127" w:name="_Toc6113"/>
      <w:bookmarkStart w:id="128" w:name="_Toc432367368"/>
      <w:bookmarkStart w:id="129" w:name="_Toc11399"/>
      <w:bookmarkStart w:id="130" w:name="_Toc430813284"/>
      <w:r>
        <w:rPr>
          <w:rFonts w:hint="eastAsia" w:asciiTheme="minorEastAsia" w:hAnsiTheme="minorEastAsia" w:eastAsiaTheme="minorEastAsia" w:cstheme="minorEastAsia"/>
          <w:b/>
          <w:snapToGrid w:val="0"/>
          <w:kern w:val="0"/>
          <w:sz w:val="24"/>
          <w:szCs w:val="24"/>
          <w:lang w:val="zh-CN"/>
        </w:rPr>
        <w:t>十一、无效投标和废标</w:t>
      </w:r>
      <w:bookmarkEnd w:id="127"/>
      <w:bookmarkEnd w:id="128"/>
      <w:bookmarkEnd w:id="129"/>
      <w:r>
        <w:rPr>
          <w:rFonts w:hint="eastAsia" w:asciiTheme="minorEastAsia" w:hAnsiTheme="minorEastAsia" w:eastAsiaTheme="minorEastAsia" w:cstheme="minorEastAsia"/>
          <w:b/>
          <w:snapToGrid w:val="0"/>
          <w:kern w:val="0"/>
          <w:sz w:val="24"/>
          <w:szCs w:val="24"/>
          <w:lang w:val="zh-CN"/>
        </w:rPr>
        <w:t xml:space="preserve"> </w:t>
      </w:r>
    </w:p>
    <w:bookmarkEnd w:id="130"/>
    <w:p>
      <w:pPr>
        <w:spacing w:line="360" w:lineRule="auto"/>
        <w:rPr>
          <w:rFonts w:asciiTheme="minorEastAsia" w:hAnsiTheme="minorEastAsia" w:eastAsiaTheme="minorEastAsia" w:cstheme="minorEastAsia"/>
          <w:sz w:val="24"/>
          <w:szCs w:val="24"/>
        </w:rPr>
      </w:pPr>
      <w:bookmarkStart w:id="131" w:name="_Toc432367369"/>
      <w:bookmarkStart w:id="132" w:name="_Toc1589"/>
      <w:bookmarkStart w:id="133" w:name="_Toc430813285"/>
      <w:r>
        <w:rPr>
          <w:rFonts w:hint="eastAsia" w:asciiTheme="minorEastAsia" w:hAnsiTheme="minorEastAsia" w:eastAsiaTheme="minorEastAsia" w:cstheme="minorEastAsia"/>
          <w:sz w:val="24"/>
          <w:szCs w:val="24"/>
        </w:rPr>
        <w:t>34.1 无效</w:t>
      </w:r>
      <w:bookmarkEnd w:id="131"/>
      <w:r>
        <w:rPr>
          <w:rFonts w:hint="eastAsia" w:asciiTheme="minorEastAsia" w:hAnsiTheme="minorEastAsia" w:eastAsiaTheme="minorEastAsia" w:cstheme="minorEastAsia"/>
          <w:sz w:val="24"/>
          <w:szCs w:val="24"/>
        </w:rPr>
        <w:t>投标</w:t>
      </w:r>
      <w:bookmarkEnd w:id="132"/>
    </w:p>
    <w:bookmarkEnd w:id="133"/>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34.1.1有下列情况之一的，视为供应商串通投标，其投标无效:</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1）不同供应商的投标文件由同一单位或者个人编制；</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2）不同供应商委托同一单位或者个人办理投标事宜；</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3）不同供应商的投标文件载明的项目管理成员或者联系人员为同一人；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4）不同供应商的投标文件异常一致或者投标报价呈规律性差异；</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5）不同供应商的投标文件相互混装；</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6）不同供应商的投标保证金从同一单位或者个人的账户转出；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7）法律、法规规定的其他串通行为。</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34.1.2供应商存在以下情况之一的，投标无效：</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1）未按照</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的规定提交投标保证金的；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2）投标文件未按</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要求签署、盖章的；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3）不具备</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中规定的资格要求的；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4）报价超过</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中规定的预算金额或者最高限价的；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5）投标文件含有采购人不能接受的附加条件的;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6）法律、法规和</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规定的其他无效情形。</w:t>
      </w:r>
    </w:p>
    <w:p>
      <w:pPr>
        <w:spacing w:line="360" w:lineRule="auto"/>
        <w:rPr>
          <w:rFonts w:asciiTheme="minorEastAsia" w:hAnsiTheme="minorEastAsia" w:eastAsiaTheme="minorEastAsia" w:cstheme="minorEastAsia"/>
          <w:sz w:val="24"/>
          <w:szCs w:val="24"/>
        </w:rPr>
      </w:pPr>
      <w:bookmarkStart w:id="134" w:name="_Toc16286"/>
      <w:bookmarkStart w:id="135" w:name="_Toc432367370"/>
      <w:bookmarkStart w:id="136" w:name="_Toc430813286"/>
      <w:r>
        <w:rPr>
          <w:rFonts w:hint="eastAsia" w:asciiTheme="minorEastAsia" w:hAnsiTheme="minorEastAsia" w:eastAsiaTheme="minorEastAsia" w:cstheme="minorEastAsia"/>
          <w:sz w:val="24"/>
          <w:szCs w:val="24"/>
        </w:rPr>
        <w:t>34.2 废标</w:t>
      </w:r>
      <w:bookmarkEnd w:id="134"/>
      <w:bookmarkEnd w:id="135"/>
    </w:p>
    <w:bookmarkEnd w:id="136"/>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34.2.1在招标采购中，出现下列情形之一的，应予废标：</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1）符合专业条件的供应商或者对</w:t>
      </w:r>
      <w:r>
        <w:rPr>
          <w:rFonts w:hint="eastAsia" w:asciiTheme="minorEastAsia" w:hAnsiTheme="minorEastAsia" w:eastAsiaTheme="minorEastAsia" w:cstheme="minorEastAsia"/>
          <w:sz w:val="24"/>
          <w:szCs w:val="24"/>
          <w:lang w:eastAsia="zh-CN"/>
        </w:rPr>
        <w:t>磋商文件</w:t>
      </w:r>
      <w:r>
        <w:rPr>
          <w:rFonts w:hint="eastAsia" w:asciiTheme="minorEastAsia" w:hAnsiTheme="minorEastAsia" w:eastAsiaTheme="minorEastAsia" w:cstheme="minorEastAsia"/>
          <w:sz w:val="24"/>
          <w:szCs w:val="24"/>
        </w:rPr>
        <w:t>作实质响应的供应商不足三家的；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2）出现影响采购公正的违法、违规行为的；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3）供应商的报价均超过了采购预算，采购人不能支付的；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4）因重大变故，采购任务取消的；</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5）法律、法规规定的其他废标情形。</w:t>
      </w:r>
    </w:p>
    <w:p>
      <w:pPr>
        <w:spacing w:line="360" w:lineRule="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废标后，采购人应当将废标理由通知所有供应商，除采购任务取消情形外，应当重新组织招标；需要采取其他方式采购的，应当在采购活动开始前获得设区的市、自治州以上人民政府采购监督管理部门或者政府有关部门批准。</w:t>
      </w:r>
    </w:p>
    <w:p>
      <w:pPr>
        <w:widowControl/>
        <w:spacing w:line="360" w:lineRule="auto"/>
        <w:jc w:val="left"/>
        <w:rPr>
          <w:rFonts w:asciiTheme="minorEastAsia" w:hAnsiTheme="minorEastAsia" w:eastAsiaTheme="minorEastAsia" w:cstheme="minorEastAsia"/>
        </w:rPr>
      </w:pPr>
      <w:r>
        <w:rPr>
          <w:rFonts w:hint="eastAsia" w:asciiTheme="minorEastAsia" w:hAnsiTheme="minorEastAsia" w:eastAsiaTheme="minorEastAsia" w:cstheme="minorEastAsia"/>
        </w:rPr>
        <w:br w:type="page"/>
      </w:r>
    </w:p>
    <w:p>
      <w:pPr>
        <w:pStyle w:val="3"/>
        <w:snapToGrid w:val="0"/>
        <w:spacing w:before="0" w:after="0" w:line="360" w:lineRule="auto"/>
        <w:rPr>
          <w:highlight w:val="none"/>
        </w:rPr>
      </w:pPr>
      <w:bookmarkStart w:id="137" w:name="_Toc6773"/>
      <w:bookmarkStart w:id="138" w:name="_Toc24709"/>
      <w:bookmarkStart w:id="139" w:name="_Toc461966512"/>
      <w:bookmarkStart w:id="140" w:name="_Toc23452"/>
      <w:bookmarkStart w:id="141" w:name="_Toc8096"/>
      <w:bookmarkStart w:id="142" w:name="_Toc162164501"/>
      <w:bookmarkStart w:id="143" w:name="_Toc535832547"/>
      <w:r>
        <w:rPr>
          <w:rFonts w:hint="eastAsia"/>
          <w:highlight w:val="none"/>
        </w:rPr>
        <w:t xml:space="preserve">第三章 </w:t>
      </w:r>
      <w:bookmarkEnd w:id="137"/>
      <w:bookmarkEnd w:id="138"/>
      <w:bookmarkEnd w:id="139"/>
      <w:r>
        <w:rPr>
          <w:rFonts w:hint="eastAsia"/>
          <w:highlight w:val="none"/>
        </w:rPr>
        <w:t>采购内容及要求</w:t>
      </w:r>
      <w:bookmarkEnd w:id="140"/>
      <w:bookmarkEnd w:id="141"/>
    </w:p>
    <w:bookmarkEnd w:id="142"/>
    <w:bookmarkEnd w:id="143"/>
    <w:p>
      <w:pPr>
        <w:pStyle w:val="2"/>
        <w:kinsoku w:val="0"/>
        <w:overflowPunct w:val="0"/>
        <w:spacing w:line="360" w:lineRule="auto"/>
        <w:ind w:firstLine="482" w:firstLineChars="200"/>
        <w:jc w:val="both"/>
        <w:rPr>
          <w:rFonts w:hint="eastAsia" w:ascii="宋体" w:hAnsi="宋体" w:eastAsia="宋体" w:cs="Times New Roman"/>
          <w:b/>
          <w:bCs/>
          <w:sz w:val="24"/>
          <w:szCs w:val="22"/>
          <w:lang w:val="en-US" w:eastAsia="zh-CN"/>
        </w:rPr>
      </w:pPr>
      <w:bookmarkStart w:id="144" w:name="_Toc535891855"/>
      <w:bookmarkStart w:id="145" w:name="_Toc535891688"/>
      <w:bookmarkStart w:id="146" w:name="_Toc477625698"/>
      <w:bookmarkStart w:id="147" w:name="_Toc8613"/>
      <w:bookmarkStart w:id="148" w:name="_Toc11132"/>
      <w:bookmarkStart w:id="149" w:name="_Toc535814466"/>
      <w:bookmarkStart w:id="150" w:name="_Toc535832555"/>
      <w:bookmarkStart w:id="151" w:name="_Toc535815711"/>
      <w:r>
        <w:rPr>
          <w:rFonts w:hint="eastAsia" w:ascii="宋体" w:hAnsi="宋体" w:eastAsia="宋体" w:cs="Times New Roman"/>
          <w:b/>
          <w:bCs/>
          <w:sz w:val="24"/>
          <w:szCs w:val="22"/>
          <w:lang w:val="en-US" w:eastAsia="zh-CN"/>
        </w:rPr>
        <w:t>一、项目概况</w:t>
      </w:r>
    </w:p>
    <w:p>
      <w:pPr>
        <w:pStyle w:val="2"/>
        <w:kinsoku w:val="0"/>
        <w:overflowPunct w:val="0"/>
        <w:spacing w:line="360" w:lineRule="auto"/>
        <w:ind w:firstLine="480" w:firstLineChars="200"/>
        <w:jc w:val="both"/>
        <w:rPr>
          <w:rFonts w:hint="eastAsia" w:ascii="宋体" w:hAnsi="宋体" w:eastAsia="宋体" w:cs="Times New Roman"/>
          <w:sz w:val="24"/>
          <w:szCs w:val="22"/>
          <w:lang w:val="en-US" w:eastAsia="zh-CN"/>
        </w:rPr>
      </w:pPr>
      <w:r>
        <w:rPr>
          <w:rFonts w:hint="eastAsia" w:ascii="宋体" w:hAnsi="宋体" w:eastAsia="宋体" w:cs="Times New Roman"/>
          <w:sz w:val="24"/>
          <w:szCs w:val="22"/>
          <w:lang w:val="en-US" w:eastAsia="zh-CN"/>
        </w:rPr>
        <w:t>项目名称：</w:t>
      </w:r>
      <w:r>
        <w:rPr>
          <w:rFonts w:hint="eastAsia" w:ascii="宋体" w:hAnsi="宋体" w:cs="Times New Roman"/>
          <w:sz w:val="24"/>
          <w:szCs w:val="22"/>
          <w:lang w:val="en-US" w:eastAsia="zh-CN"/>
        </w:rPr>
        <w:t>谌家矶片区明渠维护第三方服务</w:t>
      </w:r>
    </w:p>
    <w:p>
      <w:pPr>
        <w:pStyle w:val="2"/>
        <w:kinsoku w:val="0"/>
        <w:overflowPunct w:val="0"/>
        <w:spacing w:line="360" w:lineRule="auto"/>
        <w:ind w:firstLine="480" w:firstLineChars="200"/>
        <w:jc w:val="both"/>
        <w:rPr>
          <w:rFonts w:hint="eastAsia" w:ascii="宋体" w:hAnsi="宋体" w:eastAsia="宋体" w:cs="Times New Roman"/>
          <w:sz w:val="24"/>
          <w:szCs w:val="22"/>
          <w:lang w:val="en-US" w:eastAsia="zh-CN"/>
        </w:rPr>
      </w:pPr>
      <w:r>
        <w:rPr>
          <w:rFonts w:hint="eastAsia" w:ascii="宋体" w:hAnsi="宋体" w:eastAsia="宋体" w:cs="Times New Roman"/>
          <w:sz w:val="24"/>
          <w:szCs w:val="22"/>
          <w:lang w:val="en-US" w:eastAsia="zh-CN"/>
        </w:rPr>
        <w:t>项目</w:t>
      </w:r>
      <w:r>
        <w:rPr>
          <w:rFonts w:hint="eastAsia" w:ascii="宋体" w:hAnsi="宋体" w:cs="Times New Roman"/>
          <w:sz w:val="24"/>
          <w:szCs w:val="22"/>
          <w:lang w:val="en-US" w:eastAsia="zh-CN"/>
        </w:rPr>
        <w:t>编号</w:t>
      </w:r>
      <w:r>
        <w:rPr>
          <w:rFonts w:hint="eastAsia" w:ascii="宋体" w:hAnsi="宋体" w:eastAsia="宋体" w:cs="Times New Roman"/>
          <w:sz w:val="24"/>
          <w:szCs w:val="22"/>
          <w:lang w:val="en-US" w:eastAsia="zh-CN"/>
        </w:rPr>
        <w:t>：</w:t>
      </w:r>
      <w:r>
        <w:rPr>
          <w:rFonts w:hint="eastAsia" w:ascii="宋体" w:hAnsi="宋体" w:cs="Times New Roman"/>
          <w:sz w:val="24"/>
          <w:szCs w:val="22"/>
          <w:lang w:val="en-US" w:eastAsia="zh-CN"/>
        </w:rPr>
        <w:t>HBZC-ZB-2023-Z1055</w:t>
      </w:r>
    </w:p>
    <w:p>
      <w:pPr>
        <w:pStyle w:val="2"/>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预算金额：</w:t>
      </w:r>
      <w:r>
        <w:rPr>
          <w:rFonts w:hint="eastAsia" w:asciiTheme="minorEastAsia" w:hAnsiTheme="minorEastAsia" w:eastAsiaTheme="minorEastAsia" w:cstheme="minorEastAsia"/>
          <w:b w:val="0"/>
          <w:bCs w:val="0"/>
          <w:kern w:val="0"/>
          <w:sz w:val="24"/>
          <w:szCs w:val="24"/>
          <w:highlight w:val="none"/>
          <w:u w:val="none"/>
          <w:lang w:val="en-US" w:bidi="zh-CN"/>
        </w:rPr>
        <w:t>34.80</w:t>
      </w:r>
      <w:r>
        <w:rPr>
          <w:rFonts w:hint="eastAsia" w:ascii="宋体" w:hAnsi="宋体" w:eastAsia="宋体" w:cs="Times New Roman"/>
          <w:sz w:val="24"/>
          <w:szCs w:val="22"/>
          <w:highlight w:val="none"/>
          <w:lang w:val="en-US" w:eastAsia="zh-CN"/>
        </w:rPr>
        <w:t>万元（人民币）</w:t>
      </w:r>
    </w:p>
    <w:p>
      <w:pPr>
        <w:pStyle w:val="2"/>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最高限价（如有）：</w:t>
      </w:r>
      <w:r>
        <w:rPr>
          <w:rFonts w:hint="eastAsia" w:asciiTheme="minorEastAsia" w:hAnsiTheme="minorEastAsia" w:eastAsiaTheme="minorEastAsia" w:cstheme="minorEastAsia"/>
          <w:b w:val="0"/>
          <w:bCs w:val="0"/>
          <w:kern w:val="0"/>
          <w:sz w:val="24"/>
          <w:szCs w:val="24"/>
          <w:highlight w:val="none"/>
          <w:u w:val="none"/>
          <w:lang w:val="en-US" w:bidi="zh-CN"/>
        </w:rPr>
        <w:t>34.799647</w:t>
      </w:r>
      <w:r>
        <w:rPr>
          <w:rFonts w:hint="eastAsia" w:ascii="宋体" w:hAnsi="宋体" w:eastAsia="宋体" w:cs="Times New Roman"/>
          <w:sz w:val="24"/>
          <w:szCs w:val="22"/>
          <w:highlight w:val="none"/>
          <w:lang w:val="en-US" w:eastAsia="zh-CN"/>
        </w:rPr>
        <w:t>万元（人民币）</w:t>
      </w:r>
    </w:p>
    <w:p>
      <w:pPr>
        <w:pStyle w:val="2"/>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合同履行期限：</w:t>
      </w:r>
      <w:r>
        <w:rPr>
          <w:rFonts w:hint="eastAsia" w:ascii="宋体" w:hAnsi="宋体" w:cs="Times New Roman"/>
          <w:sz w:val="24"/>
          <w:szCs w:val="22"/>
          <w:highlight w:val="none"/>
          <w:lang w:val="en-US" w:eastAsia="zh-CN"/>
        </w:rPr>
        <w:t>合同签订之日起一年内</w:t>
      </w:r>
    </w:p>
    <w:p>
      <w:pPr>
        <w:pStyle w:val="2"/>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 xml:space="preserve">服务质量目标：按采购人要求执行。 </w:t>
      </w:r>
    </w:p>
    <w:p>
      <w:pPr>
        <w:pStyle w:val="2"/>
        <w:kinsoku w:val="0"/>
        <w:overflowPunct w:val="0"/>
        <w:spacing w:line="360" w:lineRule="auto"/>
        <w:ind w:firstLine="480" w:firstLineChars="200"/>
        <w:jc w:val="both"/>
        <w:rPr>
          <w:rFonts w:hint="eastAsia" w:ascii="宋体" w:hAnsi="宋体" w:eastAsia="宋体" w:cs="Times New Roman"/>
          <w:sz w:val="24"/>
          <w:szCs w:val="22"/>
          <w:highlight w:val="none"/>
          <w:lang w:val="en-US" w:eastAsia="zh-CN"/>
        </w:rPr>
      </w:pPr>
      <w:r>
        <w:rPr>
          <w:rFonts w:hint="eastAsia" w:ascii="宋体" w:hAnsi="宋体" w:eastAsia="宋体" w:cs="Times New Roman"/>
          <w:sz w:val="24"/>
          <w:szCs w:val="22"/>
          <w:highlight w:val="none"/>
          <w:lang w:val="en-US" w:eastAsia="zh-CN"/>
        </w:rPr>
        <w:t>付款方式：甲方按进度验收合格后，由乙方开具发票给甲方，甲方在收到发票后按合同进度付款。</w:t>
      </w:r>
    </w:p>
    <w:p>
      <w:pPr>
        <w:pStyle w:val="2"/>
        <w:kinsoku w:val="0"/>
        <w:overflowPunct w:val="0"/>
        <w:spacing w:line="360" w:lineRule="auto"/>
        <w:ind w:firstLine="482" w:firstLineChars="200"/>
        <w:jc w:val="both"/>
        <w:rPr>
          <w:rFonts w:hint="default" w:ascii="宋体" w:hAnsi="宋体" w:eastAsia="宋体" w:cs="Times New Roman"/>
          <w:b/>
          <w:bCs/>
          <w:sz w:val="24"/>
          <w:szCs w:val="22"/>
          <w:lang w:val="en-US" w:eastAsia="zh-CN"/>
        </w:rPr>
      </w:pPr>
      <w:r>
        <w:rPr>
          <w:rFonts w:hint="eastAsia" w:ascii="宋体" w:hAnsi="宋体" w:eastAsia="宋体" w:cs="Times New Roman"/>
          <w:b/>
          <w:bCs/>
          <w:sz w:val="24"/>
          <w:szCs w:val="22"/>
          <w:lang w:val="en-US" w:eastAsia="zh-CN"/>
        </w:rPr>
        <w:t>二、采购内容</w:t>
      </w:r>
    </w:p>
    <w:p>
      <w:pPr>
        <w:pStyle w:val="2"/>
        <w:kinsoku w:val="0"/>
        <w:overflowPunct w:val="0"/>
        <w:spacing w:line="360" w:lineRule="auto"/>
        <w:ind w:firstLine="480" w:firstLineChars="200"/>
        <w:jc w:val="both"/>
        <w:rPr>
          <w:rFonts w:hint="eastAsia" w:ascii="宋体" w:hAnsi="宋体" w:cs="Times New Roman"/>
          <w:sz w:val="24"/>
          <w:szCs w:val="22"/>
          <w:highlight w:val="none"/>
          <w:lang w:val="en-US" w:eastAsia="zh-CN"/>
        </w:rPr>
      </w:pPr>
      <w:r>
        <w:rPr>
          <w:rFonts w:hint="eastAsia" w:ascii="宋体" w:hAnsi="宋体" w:cs="Times New Roman"/>
          <w:sz w:val="24"/>
          <w:szCs w:val="22"/>
          <w:highlight w:val="none"/>
          <w:lang w:val="en-US" w:eastAsia="zh-CN"/>
        </w:rPr>
        <w:t>四季港（兴盛路~北堤泵站），全长1.64km，渠面宽度20m,水面面积32800m2；岸坡宽度平均12m,岸坡面积19680m2。</w:t>
      </w:r>
    </w:p>
    <w:p>
      <w:pPr>
        <w:pStyle w:val="2"/>
        <w:kinsoku w:val="0"/>
        <w:overflowPunct w:val="0"/>
        <w:spacing w:line="360" w:lineRule="auto"/>
        <w:ind w:firstLine="480" w:firstLineChars="200"/>
        <w:jc w:val="both"/>
        <w:rPr>
          <w:rFonts w:hint="eastAsia" w:ascii="宋体" w:hAnsi="宋体" w:cs="Times New Roman"/>
          <w:sz w:val="24"/>
          <w:szCs w:val="22"/>
          <w:highlight w:val="none"/>
          <w:lang w:val="en-US" w:eastAsia="zh-CN"/>
        </w:rPr>
      </w:pPr>
      <w:r>
        <w:rPr>
          <w:rFonts w:hint="eastAsia" w:ascii="宋体" w:hAnsi="宋体" w:cs="Times New Roman"/>
          <w:sz w:val="24"/>
          <w:szCs w:val="22"/>
          <w:highlight w:val="none"/>
          <w:lang w:val="en-US" w:eastAsia="zh-CN"/>
        </w:rPr>
        <w:t>平安渠（四季港~平安铺泵站），全长1.3km，渠面宽度7m,水面面积9100m2；岸坡宽度平均11.5m,岸坡面积14950m2。</w:t>
      </w:r>
    </w:p>
    <w:p>
      <w:pPr>
        <w:pStyle w:val="2"/>
        <w:kinsoku w:val="0"/>
        <w:overflowPunct w:val="0"/>
        <w:spacing w:line="360" w:lineRule="auto"/>
        <w:ind w:firstLine="480" w:firstLineChars="200"/>
        <w:jc w:val="both"/>
        <w:rPr>
          <w:rFonts w:hint="eastAsia"/>
          <w:highlight w:val="none"/>
          <w:lang w:val="en-US" w:eastAsia="zh-CN"/>
        </w:rPr>
      </w:pPr>
      <w:r>
        <w:rPr>
          <w:rFonts w:hint="eastAsia" w:ascii="宋体" w:hAnsi="宋体" w:cs="Times New Roman"/>
          <w:sz w:val="24"/>
          <w:szCs w:val="22"/>
          <w:highlight w:val="none"/>
          <w:lang w:val="en-US" w:eastAsia="zh-CN"/>
        </w:rPr>
        <w:t>本项目采购范围为四季港、平安渠全部水域面积41900m2，岸线长度2.94千米。针对四季港、平安渠水生态环境现状实施日常保洁维护</w:t>
      </w:r>
      <w:r>
        <w:rPr>
          <w:rFonts w:hint="eastAsia" w:ascii="宋体" w:hAnsi="宋体" w:cs="宋体"/>
          <w:sz w:val="28"/>
          <w:szCs w:val="28"/>
        </w:rPr>
        <w:t>，</w:t>
      </w:r>
      <w:r>
        <w:rPr>
          <w:rFonts w:hint="eastAsia" w:ascii="宋体" w:hAnsi="宋体" w:cs="Times New Roman"/>
          <w:sz w:val="24"/>
          <w:szCs w:val="22"/>
          <w:highlight w:val="none"/>
          <w:lang w:val="en-US" w:eastAsia="zh-CN"/>
        </w:rPr>
        <w:t>水面保洁、岸坡维护、水利基础设施维护、垃圾的清运及处理工作及其他应完成工作任务。</w:t>
      </w:r>
    </w:p>
    <w:p>
      <w:pPr>
        <w:pStyle w:val="2"/>
        <w:kinsoku w:val="0"/>
        <w:overflowPunct w:val="0"/>
        <w:spacing w:line="360" w:lineRule="auto"/>
        <w:ind w:firstLine="482" w:firstLineChars="200"/>
        <w:jc w:val="both"/>
        <w:rPr>
          <w:rFonts w:hint="default" w:ascii="宋体" w:hAnsi="宋体" w:eastAsia="宋体" w:cs="Times New Roman"/>
          <w:b/>
          <w:bCs/>
          <w:sz w:val="24"/>
          <w:szCs w:val="22"/>
          <w:lang w:val="en-US" w:eastAsia="zh-CN"/>
        </w:rPr>
      </w:pPr>
      <w:r>
        <w:rPr>
          <w:rFonts w:hint="eastAsia" w:ascii="宋体" w:hAnsi="宋体" w:cs="Times New Roman"/>
          <w:b/>
          <w:bCs/>
          <w:sz w:val="24"/>
          <w:szCs w:val="22"/>
          <w:lang w:val="en-US" w:eastAsia="zh-CN"/>
        </w:rPr>
        <w:t>三</w:t>
      </w:r>
      <w:r>
        <w:rPr>
          <w:rFonts w:hint="eastAsia" w:ascii="宋体" w:hAnsi="宋体" w:eastAsia="宋体" w:cs="Times New Roman"/>
          <w:b/>
          <w:bCs/>
          <w:sz w:val="24"/>
          <w:szCs w:val="22"/>
          <w:lang w:val="en-US" w:eastAsia="zh-CN"/>
        </w:rPr>
        <w:t>、</w:t>
      </w:r>
      <w:r>
        <w:rPr>
          <w:rFonts w:hint="eastAsia" w:ascii="宋体" w:hAnsi="宋体" w:cs="Times New Roman"/>
          <w:b/>
          <w:bCs/>
          <w:sz w:val="24"/>
          <w:szCs w:val="22"/>
          <w:lang w:val="en-US" w:eastAsia="zh-CN"/>
        </w:rPr>
        <w:t>服务要求</w:t>
      </w:r>
    </w:p>
    <w:p>
      <w:pPr>
        <w:pStyle w:val="2"/>
        <w:kinsoku w:val="0"/>
        <w:overflowPunct w:val="0"/>
        <w:spacing w:line="360" w:lineRule="auto"/>
        <w:ind w:firstLine="480" w:firstLineChars="200"/>
        <w:jc w:val="both"/>
        <w:rPr>
          <w:rFonts w:hint="eastAsia" w:ascii="宋体" w:hAnsi="宋体" w:cs="Times New Roman"/>
          <w:sz w:val="24"/>
          <w:szCs w:val="22"/>
          <w:lang w:val="en-US" w:eastAsia="zh-CN"/>
        </w:rPr>
      </w:pPr>
      <w:r>
        <w:rPr>
          <w:rFonts w:hint="eastAsia" w:ascii="宋体" w:hAnsi="宋体" w:cs="Times New Roman"/>
          <w:sz w:val="24"/>
          <w:szCs w:val="22"/>
          <w:lang w:val="en-US" w:eastAsia="zh-CN"/>
        </w:rPr>
        <w:t>1、明渠维护服务要求主要包括：</w:t>
      </w:r>
    </w:p>
    <w:p>
      <w:pPr>
        <w:pStyle w:val="2"/>
        <w:kinsoku w:val="0"/>
        <w:overflowPunct w:val="0"/>
        <w:spacing w:line="360" w:lineRule="auto"/>
        <w:ind w:firstLine="480" w:firstLineChars="200"/>
        <w:jc w:val="both"/>
        <w:rPr>
          <w:rFonts w:hint="eastAsia" w:ascii="宋体" w:hAnsi="宋体" w:cs="Times New Roman"/>
          <w:sz w:val="24"/>
          <w:szCs w:val="22"/>
          <w:lang w:val="en-US" w:eastAsia="zh-CN"/>
        </w:rPr>
      </w:pPr>
      <w:r>
        <w:rPr>
          <w:rFonts w:hint="eastAsia" w:ascii="宋体" w:hAnsi="宋体" w:cs="Times New Roman"/>
          <w:sz w:val="24"/>
          <w:szCs w:val="22"/>
          <w:lang w:val="en-US" w:eastAsia="zh-CN"/>
        </w:rPr>
        <w:t>明渠维护时间为：每日9:00-17:00，如遇天气、检查等特殊情况，服务时间应按甲方的要求适当延长。</w:t>
      </w:r>
    </w:p>
    <w:p>
      <w:pPr>
        <w:pStyle w:val="2"/>
        <w:kinsoku w:val="0"/>
        <w:overflowPunct w:val="0"/>
        <w:spacing w:line="360" w:lineRule="auto"/>
        <w:ind w:firstLine="480" w:firstLineChars="200"/>
        <w:jc w:val="both"/>
        <w:rPr>
          <w:rFonts w:hint="eastAsia" w:ascii="宋体" w:hAnsi="宋体" w:cs="Times New Roman"/>
          <w:sz w:val="24"/>
          <w:szCs w:val="22"/>
          <w:lang w:val="en-US" w:eastAsia="zh-CN"/>
        </w:rPr>
      </w:pPr>
      <w:r>
        <w:rPr>
          <w:rFonts w:hint="eastAsia" w:ascii="宋体" w:hAnsi="宋体" w:cs="Times New Roman"/>
          <w:sz w:val="24"/>
          <w:szCs w:val="22"/>
          <w:lang w:val="en-US" w:eastAsia="zh-CN"/>
        </w:rPr>
        <w:t>2、明渠维护、保洁服务标准为：</w:t>
      </w:r>
    </w:p>
    <w:p>
      <w:pPr>
        <w:pStyle w:val="2"/>
        <w:kinsoku w:val="0"/>
        <w:overflowPunct w:val="0"/>
        <w:spacing w:line="360" w:lineRule="auto"/>
        <w:ind w:firstLine="480" w:firstLineChars="200"/>
        <w:jc w:val="both"/>
        <w:rPr>
          <w:rFonts w:hint="eastAsia" w:ascii="宋体" w:hAnsi="宋体" w:cs="Times New Roman"/>
          <w:sz w:val="24"/>
          <w:szCs w:val="22"/>
          <w:lang w:val="en-US" w:eastAsia="zh-CN"/>
        </w:rPr>
      </w:pPr>
      <w:r>
        <w:rPr>
          <w:rFonts w:hint="eastAsia" w:ascii="宋体" w:hAnsi="宋体" w:cs="Times New Roman"/>
          <w:sz w:val="24"/>
          <w:szCs w:val="22"/>
          <w:lang w:val="en-US" w:eastAsia="zh-CN"/>
        </w:rPr>
        <w:t>明渠维护范围内干净整洁，水面无漂浮废弃物，岸坡内无杂草、垃圾，干净整洁，环境优美。</w:t>
      </w:r>
    </w:p>
    <w:p>
      <w:pPr>
        <w:pStyle w:val="2"/>
        <w:numPr>
          <w:ilvl w:val="0"/>
          <w:numId w:val="4"/>
        </w:numPr>
        <w:kinsoku w:val="0"/>
        <w:overflowPunct w:val="0"/>
        <w:spacing w:line="360" w:lineRule="auto"/>
        <w:ind w:firstLine="480" w:firstLineChars="200"/>
        <w:jc w:val="both"/>
        <w:rPr>
          <w:rFonts w:hint="eastAsia" w:ascii="宋体" w:hAnsi="宋体" w:cs="Times New Roman"/>
          <w:sz w:val="24"/>
          <w:szCs w:val="22"/>
          <w:lang w:val="en-US" w:eastAsia="zh-CN"/>
        </w:rPr>
      </w:pPr>
      <w:r>
        <w:rPr>
          <w:rFonts w:hint="eastAsia" w:ascii="宋体" w:hAnsi="宋体" w:cs="Times New Roman"/>
          <w:sz w:val="24"/>
          <w:szCs w:val="22"/>
          <w:lang w:val="en-US" w:eastAsia="zh-CN"/>
        </w:rPr>
        <w:t>人员配备要求：</w:t>
      </w:r>
    </w:p>
    <w:p>
      <w:pPr>
        <w:pStyle w:val="2"/>
        <w:kinsoku w:val="0"/>
        <w:overflowPunct w:val="0"/>
        <w:spacing w:line="360" w:lineRule="auto"/>
        <w:ind w:firstLine="480" w:firstLineChars="200"/>
        <w:jc w:val="both"/>
        <w:rPr>
          <w:rFonts w:hint="eastAsia" w:ascii="宋体" w:hAnsi="宋体" w:cs="Times New Roman"/>
          <w:sz w:val="24"/>
          <w:szCs w:val="22"/>
          <w:lang w:val="en-US" w:eastAsia="zh-CN"/>
        </w:rPr>
      </w:pPr>
      <w:r>
        <w:rPr>
          <w:rFonts w:hint="eastAsia" w:ascii="宋体" w:hAnsi="宋体" w:cs="Times New Roman"/>
          <w:sz w:val="24"/>
          <w:szCs w:val="22"/>
          <w:lang w:val="en-US" w:eastAsia="zh-CN"/>
        </w:rPr>
        <w:t>1、须保证安排足够的明渠维护、保洁服务人员，在进行水上作业时，保证每艘打捞船上至少2名维护人员共同作业。</w:t>
      </w:r>
    </w:p>
    <w:p>
      <w:pPr>
        <w:pStyle w:val="2"/>
        <w:kinsoku w:val="0"/>
        <w:overflowPunct w:val="0"/>
        <w:spacing w:line="360" w:lineRule="auto"/>
        <w:ind w:firstLine="480" w:firstLineChars="200"/>
        <w:jc w:val="both"/>
        <w:rPr>
          <w:rFonts w:hint="eastAsia" w:ascii="宋体" w:hAnsi="宋体" w:cs="Times New Roman"/>
          <w:sz w:val="24"/>
          <w:szCs w:val="22"/>
          <w:lang w:val="en-US" w:eastAsia="zh-CN"/>
        </w:rPr>
      </w:pPr>
      <w:r>
        <w:rPr>
          <w:rFonts w:hint="eastAsia" w:ascii="宋体" w:hAnsi="宋体" w:cs="Times New Roman"/>
          <w:sz w:val="24"/>
          <w:szCs w:val="22"/>
          <w:lang w:val="en-US" w:eastAsia="zh-CN"/>
        </w:rPr>
        <w:t>2、应组织人员按甲方的工作安排，进行随机作业。所配备人员应注重政治素质、业务素质及思想道德品质方面的要求，配备人员身体健康。</w:t>
      </w:r>
    </w:p>
    <w:p>
      <w:pPr>
        <w:pStyle w:val="2"/>
        <w:kinsoku w:val="0"/>
        <w:overflowPunct w:val="0"/>
        <w:spacing w:line="360" w:lineRule="auto"/>
        <w:ind w:firstLine="480" w:firstLineChars="200"/>
        <w:jc w:val="both"/>
        <w:rPr>
          <w:rFonts w:hint="eastAsia" w:ascii="宋体" w:hAnsi="宋体" w:cs="Times New Roman"/>
          <w:sz w:val="24"/>
          <w:szCs w:val="22"/>
          <w:lang w:val="en-US" w:eastAsia="zh-CN"/>
        </w:rPr>
      </w:pPr>
      <w:r>
        <w:rPr>
          <w:rFonts w:hint="eastAsia" w:ascii="宋体" w:hAnsi="宋体" w:cs="Times New Roman"/>
          <w:sz w:val="24"/>
          <w:szCs w:val="22"/>
          <w:lang w:val="en-US" w:eastAsia="zh-CN"/>
        </w:rPr>
        <w:t>3、提供明渠维护、保养服务的工作人员须着统一制服上岗，划船作业时必须穿着救生衣。</w:t>
      </w:r>
    </w:p>
    <w:p>
      <w:pPr>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br w:type="page"/>
      </w:r>
    </w:p>
    <w:p>
      <w:pPr>
        <w:pStyle w:val="3"/>
        <w:spacing w:before="240" w:after="120" w:line="360" w:lineRule="auto"/>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第四章</w:t>
      </w:r>
      <w:bookmarkEnd w:id="144"/>
      <w:bookmarkEnd w:id="145"/>
      <w:r>
        <w:rPr>
          <w:rFonts w:hint="eastAsia" w:asciiTheme="minorEastAsia" w:hAnsiTheme="minorEastAsia" w:eastAsiaTheme="minorEastAsia" w:cstheme="minorEastAsia"/>
          <w:color w:val="000000" w:themeColor="text1"/>
          <w:highlight w:val="none"/>
          <w14:textFill>
            <w14:solidFill>
              <w14:schemeClr w14:val="tx1"/>
            </w14:solidFill>
          </w14:textFill>
        </w:rPr>
        <w:t>合同</w:t>
      </w:r>
      <w:bookmarkEnd w:id="146"/>
      <w:r>
        <w:rPr>
          <w:rFonts w:hint="eastAsia" w:asciiTheme="minorEastAsia" w:hAnsiTheme="minorEastAsia" w:eastAsiaTheme="minorEastAsia" w:cstheme="minorEastAsia"/>
          <w:color w:val="000000" w:themeColor="text1"/>
          <w:highlight w:val="none"/>
          <w14:textFill>
            <w14:solidFill>
              <w14:schemeClr w14:val="tx1"/>
            </w14:solidFill>
          </w14:textFill>
        </w:rPr>
        <w:t>格式（仅供参考）</w:t>
      </w:r>
      <w:bookmarkEnd w:id="147"/>
      <w:bookmarkEnd w:id="148"/>
    </w:p>
    <w:p>
      <w:pPr>
        <w:pStyle w:val="194"/>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rPr>
        <w:t>发包单位(以下简称发包人)：</w:t>
      </w:r>
      <w:r>
        <w:rPr>
          <w:rFonts w:hint="eastAsia" w:ascii="宋体" w:hAnsi="宋体" w:cs="宋体"/>
          <w:sz w:val="24"/>
          <w:lang w:eastAsia="zh-CN"/>
        </w:rPr>
        <w:t>武汉长江新区生态环境和水务湖泊局</w:t>
      </w:r>
    </w:p>
    <w:p>
      <w:pPr>
        <w:pStyle w:val="194"/>
        <w:spacing w:line="360" w:lineRule="auto"/>
        <w:ind w:firstLine="480" w:firstLineChars="200"/>
        <w:jc w:val="left"/>
        <w:rPr>
          <w:rFonts w:ascii="宋体" w:hAnsi="宋体" w:cs="宋体"/>
          <w:sz w:val="24"/>
        </w:rPr>
      </w:pPr>
      <w:r>
        <w:rPr>
          <w:rFonts w:hint="eastAsia" w:ascii="宋体" w:hAnsi="宋体" w:cs="宋体"/>
          <w:sz w:val="24"/>
        </w:rPr>
        <w:t xml:space="preserve">承包单位(以下简称承包人)：                  </w:t>
      </w:r>
    </w:p>
    <w:p>
      <w:pPr>
        <w:pStyle w:val="194"/>
        <w:spacing w:line="360" w:lineRule="auto"/>
        <w:ind w:firstLine="480" w:firstLineChars="200"/>
        <w:jc w:val="left"/>
        <w:rPr>
          <w:rFonts w:ascii="宋体" w:hAnsi="宋体" w:cs="宋体"/>
          <w:sz w:val="24"/>
        </w:rPr>
      </w:pPr>
      <w:r>
        <w:rPr>
          <w:rFonts w:hint="eastAsia" w:ascii="宋体" w:hAnsi="宋体" w:cs="宋体"/>
          <w:sz w:val="24"/>
        </w:rPr>
        <w:t>甲乙双方根据《中华人民共和国民法典》、《中华人民共和国政府采购法》、《中华人民共和国政府采购法实施条例》、及其他有关法律、法规，遵循平等、自愿、公平和诚实信用的原则，双方就</w:t>
      </w:r>
      <w:r>
        <w:rPr>
          <w:rFonts w:hint="eastAsia" w:ascii="宋体" w:hAnsi="宋体" w:cs="宋体"/>
          <w:sz w:val="24"/>
          <w:u w:val="single"/>
        </w:rPr>
        <w:t xml:space="preserve">                 </w:t>
      </w:r>
      <w:r>
        <w:rPr>
          <w:rFonts w:hint="eastAsia" w:ascii="宋体" w:hAnsi="宋体" w:cs="宋体"/>
          <w:sz w:val="24"/>
        </w:rPr>
        <w:t>项目有关事项协商一致，共同达成如下协议：</w:t>
      </w:r>
    </w:p>
    <w:p>
      <w:pPr>
        <w:pStyle w:val="194"/>
        <w:spacing w:line="360" w:lineRule="auto"/>
        <w:ind w:firstLine="480" w:firstLineChars="200"/>
        <w:jc w:val="left"/>
        <w:rPr>
          <w:rFonts w:ascii="宋体" w:hAnsi="宋体" w:cs="宋体"/>
          <w:sz w:val="24"/>
        </w:rPr>
      </w:pPr>
      <w:r>
        <w:rPr>
          <w:rFonts w:hint="eastAsia" w:ascii="宋体" w:hAnsi="宋体" w:cs="宋体"/>
          <w:sz w:val="24"/>
        </w:rPr>
        <w:t>第一条  项目概况</w:t>
      </w:r>
    </w:p>
    <w:p>
      <w:pPr>
        <w:pStyle w:val="194"/>
        <w:spacing w:line="360" w:lineRule="auto"/>
        <w:ind w:firstLine="480" w:firstLineChars="200"/>
        <w:jc w:val="left"/>
        <w:rPr>
          <w:rFonts w:ascii="宋体" w:hAnsi="宋体" w:cs="宋体"/>
          <w:sz w:val="24"/>
        </w:rPr>
      </w:pPr>
      <w:r>
        <w:rPr>
          <w:rFonts w:hint="eastAsia" w:ascii="宋体" w:hAnsi="宋体" w:cs="宋体"/>
          <w:sz w:val="24"/>
        </w:rPr>
        <w:t>项目名称</w:t>
      </w:r>
      <w:r>
        <w:rPr>
          <w:rFonts w:hint="eastAsia" w:ascii="宋体" w:hAnsi="宋体" w:cs="宋体"/>
          <w:sz w:val="24"/>
          <w:u w:val="single"/>
        </w:rPr>
        <w:t xml:space="preserve">                          </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第二条  合同总价：</w:t>
      </w:r>
      <w:r>
        <w:rPr>
          <w:rFonts w:hint="eastAsia" w:ascii="宋体" w:hAnsi="宋体" w:cs="宋体"/>
          <w:sz w:val="24"/>
          <w:u w:val="single"/>
        </w:rPr>
        <w:t xml:space="preserve">     </w:t>
      </w:r>
      <w:r>
        <w:rPr>
          <w:rFonts w:hint="eastAsia" w:ascii="宋体" w:hAnsi="宋体" w:cs="宋体"/>
          <w:sz w:val="24"/>
        </w:rPr>
        <w:t>万元 (大写：</w:t>
      </w:r>
      <w:r>
        <w:rPr>
          <w:rFonts w:hint="eastAsia" w:ascii="宋体" w:hAnsi="宋体" w:cs="宋体"/>
          <w:sz w:val="24"/>
          <w:u w:val="single"/>
        </w:rPr>
        <w:t xml:space="preserve">      </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第三条  服务期：</w:t>
      </w:r>
      <w:r>
        <w:rPr>
          <w:rFonts w:hint="eastAsia" w:ascii="宋体" w:hAnsi="宋体" w:cs="宋体"/>
          <w:sz w:val="24"/>
          <w:u w:val="single"/>
        </w:rPr>
        <w:t xml:space="preserve">     </w:t>
      </w:r>
      <w:r>
        <w:rPr>
          <w:rFonts w:hint="eastAsia" w:ascii="宋体" w:hAnsi="宋体" w:cs="宋体"/>
          <w:sz w:val="24"/>
        </w:rPr>
        <w:t>个月，计划开工日期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日，实际开工日期与计划开工日期不一致的，以实际开工日期为准。</w:t>
      </w:r>
    </w:p>
    <w:p>
      <w:pPr>
        <w:pStyle w:val="194"/>
        <w:spacing w:line="360" w:lineRule="auto"/>
        <w:ind w:firstLine="480" w:firstLineChars="200"/>
        <w:jc w:val="left"/>
        <w:rPr>
          <w:rFonts w:ascii="宋体" w:hAnsi="宋体" w:cs="宋体"/>
          <w:sz w:val="24"/>
          <w:u w:val="single"/>
        </w:rPr>
      </w:pPr>
      <w:r>
        <w:rPr>
          <w:rFonts w:hint="eastAsia" w:ascii="宋体" w:hAnsi="宋体" w:cs="宋体"/>
          <w:sz w:val="24"/>
        </w:rPr>
        <w:t>第四条  服务内容：</w:t>
      </w:r>
      <w:r>
        <w:rPr>
          <w:rFonts w:hint="eastAsia" w:ascii="宋体" w:hAnsi="宋体" w:cs="宋体"/>
          <w:sz w:val="24"/>
          <w:u w:val="single"/>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第五条  项目款及支付</w:t>
      </w:r>
    </w:p>
    <w:p>
      <w:pPr>
        <w:pStyle w:val="194"/>
        <w:spacing w:line="360" w:lineRule="auto"/>
        <w:ind w:firstLine="480" w:firstLineChars="200"/>
        <w:jc w:val="left"/>
        <w:rPr>
          <w:rFonts w:ascii="宋体" w:hAnsi="宋体" w:cs="宋体"/>
          <w:sz w:val="24"/>
        </w:rPr>
      </w:pPr>
      <w:r>
        <w:rPr>
          <w:rFonts w:hint="eastAsia" w:ascii="宋体" w:hAnsi="宋体" w:cs="宋体"/>
          <w:sz w:val="24"/>
        </w:rPr>
        <w:t>本项目合同总价为：</w:t>
      </w:r>
      <w:r>
        <w:rPr>
          <w:rFonts w:hint="eastAsia" w:ascii="宋体" w:hAnsi="宋体" w:cs="宋体"/>
          <w:sz w:val="24"/>
          <w:u w:val="single"/>
        </w:rPr>
        <w:t xml:space="preserve">     </w:t>
      </w:r>
      <w:r>
        <w:rPr>
          <w:rFonts w:hint="eastAsia" w:ascii="宋体" w:hAnsi="宋体" w:cs="宋体"/>
          <w:sz w:val="24"/>
        </w:rPr>
        <w:t>万元，大写:</w:t>
      </w:r>
      <w:r>
        <w:rPr>
          <w:rFonts w:hint="eastAsia" w:ascii="宋体" w:hAnsi="宋体" w:cs="宋体"/>
          <w:sz w:val="24"/>
          <w:u w:val="single"/>
        </w:rPr>
        <w:t xml:space="preserve">       </w:t>
      </w:r>
      <w:r>
        <w:rPr>
          <w:rFonts w:hint="eastAsia" w:ascii="宋体" w:hAnsi="宋体" w:cs="宋体"/>
          <w:sz w:val="24"/>
        </w:rPr>
        <w:t>。当承包人完成项目内容，经验收确认合格，审计按验收完成的实际工程量计算，计价方式按湖北省现行计价规定计算结算造价，按审计后结算造价支付全部项目款。经双方协商付款方式及约定如下:</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1.预付款：                                。</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2.进度款：                                。</w:t>
      </w:r>
    </w:p>
    <w:p>
      <w:pPr>
        <w:pStyle w:val="194"/>
        <w:spacing w:line="360" w:lineRule="auto"/>
        <w:ind w:firstLine="480" w:firstLineChars="200"/>
        <w:jc w:val="left"/>
        <w:rPr>
          <w:rFonts w:ascii="宋体" w:hAnsi="宋体" w:cs="宋体"/>
          <w:sz w:val="24"/>
          <w:u w:val="single"/>
        </w:rPr>
      </w:pPr>
      <w:r>
        <w:rPr>
          <w:rFonts w:hint="eastAsia" w:ascii="宋体" w:hAnsi="宋体" w:cs="宋体"/>
          <w:sz w:val="24"/>
          <w:u w:val="single"/>
        </w:rPr>
        <w:t>3.尾款：                                   。</w:t>
      </w:r>
    </w:p>
    <w:p>
      <w:pPr>
        <w:pStyle w:val="194"/>
        <w:spacing w:line="360" w:lineRule="auto"/>
        <w:ind w:firstLine="480" w:firstLineChars="200"/>
        <w:jc w:val="left"/>
        <w:rPr>
          <w:rFonts w:ascii="宋体" w:hAnsi="宋体" w:cs="宋体"/>
          <w:sz w:val="24"/>
        </w:rPr>
      </w:pPr>
      <w:r>
        <w:rPr>
          <w:rFonts w:hint="eastAsia" w:ascii="宋体" w:hAnsi="宋体" w:cs="宋体"/>
          <w:sz w:val="24"/>
        </w:rPr>
        <w:t xml:space="preserve">本费用包含承包人员工的工资、保险、承包人的管理费用等双方所明确的所有费用。 </w:t>
      </w:r>
    </w:p>
    <w:p>
      <w:pPr>
        <w:pStyle w:val="194"/>
        <w:spacing w:line="360" w:lineRule="auto"/>
        <w:ind w:firstLine="480" w:firstLineChars="200"/>
        <w:jc w:val="left"/>
        <w:rPr>
          <w:rFonts w:ascii="宋体" w:hAnsi="宋体" w:cs="宋体"/>
          <w:sz w:val="24"/>
        </w:rPr>
      </w:pPr>
      <w:r>
        <w:rPr>
          <w:rFonts w:hint="eastAsia" w:ascii="宋体" w:hAnsi="宋体" w:cs="宋体"/>
          <w:sz w:val="24"/>
        </w:rPr>
        <w:t>第六条  安全文明施工</w:t>
      </w:r>
    </w:p>
    <w:p>
      <w:pPr>
        <w:pStyle w:val="194"/>
        <w:spacing w:line="360" w:lineRule="auto"/>
        <w:ind w:firstLine="480" w:firstLineChars="200"/>
        <w:jc w:val="left"/>
        <w:rPr>
          <w:rFonts w:ascii="宋体" w:hAnsi="宋体" w:cs="宋体"/>
          <w:sz w:val="24"/>
        </w:rPr>
      </w:pPr>
      <w:r>
        <w:rPr>
          <w:rFonts w:hint="eastAsia" w:ascii="宋体" w:hAnsi="宋体" w:cs="宋体"/>
          <w:sz w:val="24"/>
        </w:rPr>
        <w:t>本项目劳务作业过程中，承包人员工应坚持安全文明作业，若在作业过程中发生任何人员伤亡机械损毁均与发包人无关，由承包人承担责任与发生费用。</w:t>
      </w:r>
    </w:p>
    <w:p>
      <w:pPr>
        <w:pStyle w:val="194"/>
        <w:spacing w:line="360" w:lineRule="auto"/>
        <w:ind w:firstLine="480" w:firstLineChars="200"/>
        <w:jc w:val="left"/>
        <w:rPr>
          <w:rFonts w:ascii="宋体" w:hAnsi="宋体" w:cs="宋体"/>
          <w:sz w:val="24"/>
        </w:rPr>
      </w:pPr>
      <w:r>
        <w:rPr>
          <w:rFonts w:hint="eastAsia" w:ascii="宋体" w:hAnsi="宋体" w:cs="宋体"/>
          <w:sz w:val="24"/>
        </w:rPr>
        <w:t>第七条  组成合同的文件</w:t>
      </w:r>
    </w:p>
    <w:p>
      <w:pPr>
        <w:pStyle w:val="194"/>
        <w:spacing w:line="360" w:lineRule="auto"/>
        <w:ind w:firstLine="480" w:firstLineChars="200"/>
        <w:jc w:val="left"/>
        <w:rPr>
          <w:rFonts w:ascii="宋体" w:hAnsi="宋体" w:cs="宋体"/>
          <w:sz w:val="24"/>
        </w:rPr>
      </w:pPr>
      <w:r>
        <w:rPr>
          <w:rFonts w:hint="eastAsia" w:ascii="宋体" w:hAnsi="宋体" w:cs="宋体"/>
          <w:sz w:val="24"/>
        </w:rPr>
        <w:t>1.合同条款；</w:t>
      </w:r>
    </w:p>
    <w:p>
      <w:pPr>
        <w:pStyle w:val="194"/>
        <w:spacing w:line="360" w:lineRule="auto"/>
        <w:ind w:firstLine="480" w:firstLineChars="200"/>
        <w:jc w:val="left"/>
        <w:rPr>
          <w:rFonts w:ascii="宋体" w:hAnsi="宋体" w:cs="宋体"/>
          <w:sz w:val="24"/>
        </w:rPr>
      </w:pPr>
      <w:r>
        <w:rPr>
          <w:rFonts w:hint="eastAsia" w:ascii="宋体" w:hAnsi="宋体" w:cs="宋体"/>
          <w:sz w:val="24"/>
        </w:rPr>
        <w:t>2.中标通知书</w:t>
      </w:r>
    </w:p>
    <w:p>
      <w:pPr>
        <w:pStyle w:val="194"/>
        <w:spacing w:line="360" w:lineRule="auto"/>
        <w:ind w:firstLine="480" w:firstLineChars="200"/>
        <w:jc w:val="left"/>
        <w:rPr>
          <w:rFonts w:ascii="宋体" w:hAnsi="宋体" w:cs="宋体"/>
          <w:sz w:val="24"/>
        </w:rPr>
      </w:pPr>
      <w:r>
        <w:rPr>
          <w:rFonts w:hint="eastAsia" w:ascii="宋体" w:hAnsi="宋体" w:cs="宋体"/>
          <w:sz w:val="24"/>
        </w:rPr>
        <w:t>第八条  双方权利与义务</w:t>
      </w:r>
    </w:p>
    <w:p>
      <w:pPr>
        <w:pStyle w:val="194"/>
        <w:spacing w:line="360" w:lineRule="auto"/>
        <w:ind w:firstLine="480" w:firstLineChars="200"/>
        <w:jc w:val="left"/>
        <w:rPr>
          <w:rFonts w:ascii="宋体" w:hAnsi="宋体" w:cs="宋体"/>
          <w:sz w:val="24"/>
        </w:rPr>
      </w:pPr>
      <w:r>
        <w:rPr>
          <w:rFonts w:hint="eastAsia" w:ascii="宋体" w:hAnsi="宋体" w:cs="宋体"/>
          <w:sz w:val="24"/>
        </w:rPr>
        <w:t>1、发包人权利与义务</w:t>
      </w:r>
    </w:p>
    <w:p>
      <w:pPr>
        <w:pStyle w:val="194"/>
        <w:spacing w:line="360" w:lineRule="auto"/>
        <w:ind w:firstLine="480" w:firstLineChars="200"/>
        <w:jc w:val="left"/>
        <w:rPr>
          <w:rFonts w:ascii="宋体" w:hAnsi="宋体" w:cs="宋体"/>
          <w:sz w:val="24"/>
        </w:rPr>
      </w:pPr>
      <w:r>
        <w:rPr>
          <w:rFonts w:hint="eastAsia" w:ascii="宋体" w:hAnsi="宋体" w:cs="宋体"/>
          <w:sz w:val="24"/>
        </w:rPr>
        <w:t>1.1 发包人应明确承包人从事劳务服务外包的工作岗位、工作任务和工作要求，然后由承包人工作人员自行负责制定工作岗位的工作任务。</w:t>
      </w:r>
    </w:p>
    <w:p>
      <w:pPr>
        <w:pStyle w:val="194"/>
        <w:spacing w:line="360" w:lineRule="auto"/>
        <w:ind w:firstLine="480" w:firstLineChars="200"/>
        <w:jc w:val="left"/>
        <w:rPr>
          <w:rFonts w:ascii="宋体" w:hAnsi="宋体" w:cs="宋体"/>
          <w:sz w:val="24"/>
        </w:rPr>
      </w:pPr>
      <w:r>
        <w:rPr>
          <w:rFonts w:hint="eastAsia" w:ascii="宋体" w:hAnsi="宋体" w:cs="宋体"/>
          <w:sz w:val="24"/>
        </w:rPr>
        <w:t>1.</w:t>
      </w:r>
      <w:r>
        <w:rPr>
          <w:rFonts w:hint="eastAsia" w:ascii="宋体" w:hAnsi="宋体" w:cs="宋体"/>
          <w:sz w:val="24"/>
          <w:lang w:val="en-US" w:eastAsia="zh-CN"/>
        </w:rPr>
        <w:t>2</w:t>
      </w:r>
      <w:r>
        <w:rPr>
          <w:rFonts w:hint="eastAsia" w:ascii="宋体" w:hAnsi="宋体" w:cs="宋体"/>
          <w:sz w:val="24"/>
        </w:rPr>
        <w:t xml:space="preserve"> 发包人应尊重承包人员工的民族习惯和宗教信仰，不因民族和性别不同歧视承包人员工。</w:t>
      </w:r>
    </w:p>
    <w:p>
      <w:pPr>
        <w:pStyle w:val="194"/>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 xml:space="preserve"> 发包人有权抽查承包人员工的劳动合同、身份证明，</w:t>
      </w:r>
      <w:r>
        <w:rPr>
          <w:rFonts w:hint="eastAsia" w:ascii="宋体" w:hAnsi="宋体" w:cs="宋体"/>
          <w:sz w:val="24"/>
          <w:lang w:val="en-US" w:eastAsia="zh-CN"/>
        </w:rPr>
        <w:t>履行合同的情况等，</w:t>
      </w:r>
      <w:r>
        <w:rPr>
          <w:rFonts w:hint="eastAsia" w:ascii="宋体" w:hAnsi="宋体" w:cs="宋体"/>
          <w:sz w:val="24"/>
        </w:rPr>
        <w:t>承包人及其员工应配合发包人的抽检</w:t>
      </w:r>
      <w:r>
        <w:rPr>
          <w:rFonts w:hint="eastAsia" w:ascii="宋体" w:hAnsi="宋体" w:cs="宋体"/>
          <w:sz w:val="24"/>
          <w:lang w:eastAsia="zh-CN"/>
        </w:rPr>
        <w:t>，</w:t>
      </w:r>
      <w:r>
        <w:rPr>
          <w:rFonts w:hint="eastAsia" w:ascii="宋体" w:hAnsi="宋体" w:cs="宋体"/>
          <w:sz w:val="24"/>
          <w:lang w:val="en-US" w:eastAsia="zh-CN"/>
        </w:rPr>
        <w:t>发现问题的，随时有权要求承包人整改。</w:t>
      </w:r>
    </w:p>
    <w:p>
      <w:pPr>
        <w:pStyle w:val="194"/>
        <w:spacing w:line="360" w:lineRule="auto"/>
        <w:ind w:firstLine="480" w:firstLineChars="200"/>
        <w:jc w:val="left"/>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4</w:t>
      </w:r>
      <w:r>
        <w:rPr>
          <w:rFonts w:hint="eastAsia" w:ascii="宋体" w:hAnsi="宋体" w:cs="宋体"/>
          <w:sz w:val="24"/>
        </w:rPr>
        <w:t xml:space="preserve"> 承包人员工有下列行为的，发包人有权要求承包人立即更换</w:t>
      </w:r>
      <w:r>
        <w:rPr>
          <w:rFonts w:hint="eastAsia" w:ascii="宋体" w:hAnsi="宋体" w:cs="宋体"/>
          <w:sz w:val="24"/>
          <w:lang w:val="en-US" w:eastAsia="zh-CN"/>
        </w:rPr>
        <w:t>或整改：</w:t>
      </w:r>
    </w:p>
    <w:p>
      <w:pPr>
        <w:pStyle w:val="194"/>
        <w:spacing w:line="360" w:lineRule="auto"/>
        <w:ind w:firstLine="480" w:firstLineChars="200"/>
        <w:jc w:val="left"/>
        <w:rPr>
          <w:rFonts w:ascii="宋体" w:hAnsi="宋体" w:cs="宋体"/>
          <w:sz w:val="24"/>
        </w:rPr>
      </w:pPr>
      <w:r>
        <w:rPr>
          <w:rFonts w:hint="eastAsia" w:ascii="宋体" w:hAnsi="宋体" w:cs="宋体"/>
          <w:sz w:val="24"/>
        </w:rPr>
        <w:t>（1）承包人员工违反操作规程，</w:t>
      </w:r>
      <w:r>
        <w:rPr>
          <w:rFonts w:hint="eastAsia" w:ascii="宋体" w:hAnsi="宋体" w:cs="宋体"/>
          <w:sz w:val="24"/>
          <w:lang w:val="en-US" w:eastAsia="zh-CN"/>
        </w:rPr>
        <w:t>造成其提供的服务</w:t>
      </w:r>
      <w:r>
        <w:rPr>
          <w:rFonts w:hint="eastAsia" w:ascii="宋体" w:hAnsi="宋体" w:cs="宋体"/>
          <w:sz w:val="24"/>
        </w:rPr>
        <w:t>工作不能正常运行，或不能保证工作质量，给发包人造成损失的；</w:t>
      </w:r>
    </w:p>
    <w:p>
      <w:pPr>
        <w:pStyle w:val="194"/>
        <w:spacing w:line="360" w:lineRule="auto"/>
        <w:ind w:firstLine="480" w:firstLineChars="200"/>
        <w:jc w:val="left"/>
        <w:rPr>
          <w:rFonts w:ascii="宋体" w:hAnsi="宋体" w:cs="宋体"/>
          <w:sz w:val="24"/>
        </w:rPr>
      </w:pPr>
      <w:r>
        <w:rPr>
          <w:rFonts w:hint="eastAsia" w:ascii="宋体" w:hAnsi="宋体" w:cs="宋体"/>
          <w:sz w:val="24"/>
        </w:rPr>
        <w:t>（2）承包人员工严重违反发包人</w:t>
      </w:r>
      <w:r>
        <w:rPr>
          <w:rFonts w:hint="eastAsia" w:ascii="宋体" w:hAnsi="宋体" w:cs="宋体"/>
          <w:sz w:val="24"/>
          <w:lang w:val="en-US" w:eastAsia="zh-CN"/>
        </w:rPr>
        <w:t>安全</w:t>
      </w:r>
      <w:r>
        <w:rPr>
          <w:rFonts w:hint="eastAsia" w:ascii="宋体" w:hAnsi="宋体" w:cs="宋体"/>
          <w:sz w:val="24"/>
        </w:rPr>
        <w:t>规章制度，岗位职责和劳动纪律的；</w:t>
      </w:r>
    </w:p>
    <w:p>
      <w:pPr>
        <w:pStyle w:val="194"/>
        <w:spacing w:line="360" w:lineRule="auto"/>
        <w:ind w:firstLine="480" w:firstLineChars="200"/>
        <w:jc w:val="left"/>
        <w:rPr>
          <w:rFonts w:ascii="宋体" w:hAnsi="宋体" w:cs="宋体"/>
          <w:sz w:val="24"/>
        </w:rPr>
      </w:pPr>
      <w:r>
        <w:rPr>
          <w:rFonts w:hint="eastAsia" w:ascii="宋体" w:hAnsi="宋体" w:cs="宋体"/>
          <w:sz w:val="24"/>
        </w:rPr>
        <w:t>（3）承包人员工不能提供真实有效地身份证明的，或提供虚假身份证明的；</w:t>
      </w:r>
    </w:p>
    <w:p>
      <w:pPr>
        <w:pStyle w:val="194"/>
        <w:spacing w:line="360" w:lineRule="auto"/>
        <w:ind w:firstLine="480" w:firstLineChars="200"/>
        <w:jc w:val="left"/>
        <w:rPr>
          <w:rFonts w:ascii="宋体" w:hAnsi="宋体" w:cs="宋体"/>
          <w:sz w:val="24"/>
        </w:rPr>
      </w:pPr>
      <w:r>
        <w:rPr>
          <w:rFonts w:hint="eastAsia" w:ascii="宋体" w:hAnsi="宋体" w:cs="宋体"/>
          <w:sz w:val="24"/>
        </w:rPr>
        <w:t>（4）承包人员工在工作中谩骂他人或斗殴或以肢体，拳脚相击的。</w:t>
      </w:r>
    </w:p>
    <w:p>
      <w:pPr>
        <w:pStyle w:val="194"/>
        <w:spacing w:line="360" w:lineRule="auto"/>
        <w:ind w:firstLine="480" w:firstLineChars="200"/>
        <w:jc w:val="left"/>
        <w:rPr>
          <w:rFonts w:ascii="宋体" w:hAnsi="宋体" w:cs="宋体"/>
          <w:sz w:val="24"/>
        </w:rPr>
      </w:pPr>
      <w:r>
        <w:rPr>
          <w:rFonts w:hint="eastAsia" w:ascii="宋体" w:hAnsi="宋体" w:cs="宋体"/>
          <w:sz w:val="24"/>
        </w:rPr>
        <w:t>一经发现，发包人有权要求承包人退回或更换，同时承包人必须保证出勤人数，不影响发包人的正常生产工作的进展，对于承包人支付员工的工资低于当地政府最低工资标准的。</w:t>
      </w:r>
      <w:r>
        <w:rPr>
          <w:rFonts w:hint="eastAsia" w:ascii="宋体" w:hAnsi="宋体" w:cs="宋体"/>
          <w:sz w:val="24"/>
          <w:lang w:val="en-US" w:eastAsia="zh-CN"/>
        </w:rPr>
        <w:t>对于上述情况发包人有权要求限期改正并暂停付款直至承包人改正。</w:t>
      </w:r>
    </w:p>
    <w:p>
      <w:pPr>
        <w:pStyle w:val="194"/>
        <w:spacing w:line="360" w:lineRule="auto"/>
        <w:ind w:firstLine="480" w:firstLineChars="200"/>
        <w:jc w:val="left"/>
        <w:rPr>
          <w:rFonts w:ascii="宋体" w:hAnsi="宋体" w:cs="宋体"/>
          <w:sz w:val="24"/>
        </w:rPr>
      </w:pPr>
      <w:r>
        <w:rPr>
          <w:rFonts w:hint="eastAsia" w:ascii="宋体" w:hAnsi="宋体" w:cs="宋体"/>
          <w:sz w:val="24"/>
        </w:rPr>
        <w:t>1.</w:t>
      </w:r>
      <w:r>
        <w:rPr>
          <w:rFonts w:hint="eastAsia" w:ascii="宋体" w:hAnsi="宋体" w:cs="宋体"/>
          <w:sz w:val="24"/>
          <w:lang w:val="en-US" w:eastAsia="zh-CN"/>
        </w:rPr>
        <w:t>5</w:t>
      </w:r>
      <w:r>
        <w:rPr>
          <w:rFonts w:hint="eastAsia" w:ascii="宋体" w:hAnsi="宋体" w:cs="宋体"/>
          <w:sz w:val="24"/>
        </w:rPr>
        <w:t xml:space="preserve"> 承包人管理人员应及时与发包人相关管理部门确认员工的工作表现</w:t>
      </w:r>
      <w:r>
        <w:rPr>
          <w:rFonts w:hint="eastAsia" w:ascii="宋体" w:hAnsi="宋体" w:cs="宋体"/>
          <w:sz w:val="24"/>
          <w:lang w:eastAsia="zh-CN"/>
        </w:rPr>
        <w:t>，</w:t>
      </w:r>
      <w:r>
        <w:rPr>
          <w:rFonts w:hint="eastAsia" w:ascii="宋体" w:hAnsi="宋体" w:cs="宋体"/>
          <w:sz w:val="24"/>
          <w:lang w:val="en-US" w:eastAsia="zh-CN"/>
        </w:rPr>
        <w:t>未确认的，视为认可发包人的结论。</w:t>
      </w:r>
      <w:r>
        <w:rPr>
          <w:rFonts w:hint="eastAsia" w:ascii="宋体" w:hAnsi="宋体" w:cs="宋体"/>
          <w:sz w:val="24"/>
        </w:rPr>
        <w:t xml:space="preserve"> </w:t>
      </w:r>
    </w:p>
    <w:p>
      <w:pPr>
        <w:pStyle w:val="194"/>
        <w:spacing w:line="360" w:lineRule="auto"/>
        <w:ind w:firstLine="480" w:firstLineChars="200"/>
        <w:jc w:val="left"/>
        <w:rPr>
          <w:rFonts w:ascii="宋体" w:hAnsi="宋体" w:cs="宋体"/>
          <w:sz w:val="24"/>
        </w:rPr>
      </w:pPr>
      <w:r>
        <w:rPr>
          <w:rFonts w:hint="eastAsia" w:ascii="宋体" w:hAnsi="宋体" w:cs="宋体"/>
          <w:sz w:val="24"/>
        </w:rPr>
        <w:t>2.承包人的权利义务。</w:t>
      </w:r>
    </w:p>
    <w:p>
      <w:pPr>
        <w:pStyle w:val="194"/>
        <w:spacing w:line="360" w:lineRule="auto"/>
        <w:ind w:firstLine="480" w:firstLineChars="200"/>
        <w:jc w:val="left"/>
        <w:rPr>
          <w:rFonts w:ascii="宋体" w:hAnsi="宋体" w:cs="宋体"/>
          <w:sz w:val="24"/>
        </w:rPr>
      </w:pPr>
      <w:r>
        <w:rPr>
          <w:rFonts w:hint="eastAsia" w:ascii="宋体" w:hAnsi="宋体" w:cs="宋体"/>
          <w:sz w:val="24"/>
        </w:rPr>
        <w:t>2.1 承包人应保证具有履行本合同的法定资质，提供给发包人有关营业执照等资质证明</w:t>
      </w:r>
      <w:r>
        <w:rPr>
          <w:rFonts w:hint="eastAsia" w:ascii="宋体" w:hAnsi="宋体" w:cs="宋体"/>
          <w:sz w:val="24"/>
          <w:lang w:val="en-US" w:eastAsia="zh-CN"/>
        </w:rPr>
        <w:t>真实有效</w:t>
      </w:r>
      <w:r>
        <w:rPr>
          <w:rFonts w:hint="eastAsia" w:ascii="宋体" w:hAnsi="宋体" w:cs="宋体"/>
          <w:sz w:val="24"/>
        </w:rPr>
        <w:t>。</w:t>
      </w:r>
    </w:p>
    <w:p>
      <w:pPr>
        <w:pStyle w:val="194"/>
        <w:spacing w:line="360" w:lineRule="auto"/>
        <w:ind w:firstLine="480" w:firstLineChars="200"/>
        <w:jc w:val="left"/>
        <w:rPr>
          <w:rFonts w:ascii="宋体" w:hAnsi="宋体" w:cs="宋体"/>
          <w:sz w:val="24"/>
        </w:rPr>
      </w:pPr>
      <w:r>
        <w:rPr>
          <w:rFonts w:hint="eastAsia" w:ascii="宋体" w:hAnsi="宋体" w:cs="宋体"/>
          <w:sz w:val="24"/>
        </w:rPr>
        <w:t>2.2 承包人应保证严格遵守有关的人民共和国的法律、法规，特别是有关员工劳动保障或福利政策，同时承诺遵守发包人的包括安全生产，劳动卫生等各项指导原则。</w:t>
      </w:r>
      <w:r>
        <w:rPr>
          <w:rFonts w:hint="eastAsia" w:ascii="宋体" w:hAnsi="宋体" w:cs="宋体"/>
          <w:sz w:val="24"/>
          <w:lang w:val="en-US" w:eastAsia="zh-CN"/>
        </w:rPr>
        <w:t>对于首次上岗的承包人员工，承包人将对其进行安全和操作规程方面的培训。</w:t>
      </w:r>
    </w:p>
    <w:p>
      <w:pPr>
        <w:pStyle w:val="194"/>
        <w:spacing w:line="360" w:lineRule="auto"/>
        <w:ind w:firstLine="480" w:firstLineChars="200"/>
        <w:jc w:val="left"/>
        <w:rPr>
          <w:rFonts w:ascii="宋体" w:hAnsi="宋体" w:cs="宋体"/>
          <w:sz w:val="24"/>
        </w:rPr>
      </w:pPr>
      <w:r>
        <w:rPr>
          <w:rFonts w:hint="eastAsia" w:ascii="宋体" w:hAnsi="宋体" w:cs="宋体"/>
          <w:sz w:val="24"/>
        </w:rPr>
        <w:t>2.3 应根据发包人工作需求，选派符合发包人要求的承包人员工到发包人指定的工作地点工作，同时承诺不派出或使用童工。</w:t>
      </w:r>
    </w:p>
    <w:p>
      <w:pPr>
        <w:pStyle w:val="194"/>
        <w:spacing w:line="360" w:lineRule="auto"/>
        <w:ind w:firstLine="480" w:firstLineChars="200"/>
        <w:jc w:val="left"/>
        <w:rPr>
          <w:rFonts w:ascii="宋体" w:hAnsi="宋体" w:cs="宋体"/>
          <w:sz w:val="24"/>
        </w:rPr>
      </w:pPr>
      <w:r>
        <w:rPr>
          <w:rFonts w:hint="eastAsia" w:ascii="宋体" w:hAnsi="宋体" w:cs="宋体"/>
          <w:sz w:val="24"/>
        </w:rPr>
        <w:t>2.4 承包人应为派到至发包人的员工办理合法的劳动用工手续，与其建立劳动关系并签订劳动合同，同时承包人应承诺遵守《劳动合同法》相关规定。</w:t>
      </w:r>
    </w:p>
    <w:p>
      <w:pPr>
        <w:pStyle w:val="194"/>
        <w:spacing w:line="360" w:lineRule="auto"/>
        <w:ind w:firstLine="480" w:firstLineChars="200"/>
        <w:jc w:val="left"/>
        <w:rPr>
          <w:rFonts w:ascii="宋体" w:hAnsi="宋体" w:cs="宋体"/>
          <w:sz w:val="24"/>
        </w:rPr>
      </w:pPr>
      <w:r>
        <w:rPr>
          <w:rFonts w:hint="eastAsia" w:ascii="宋体" w:hAnsi="宋体" w:cs="宋体"/>
          <w:sz w:val="24"/>
        </w:rPr>
        <w:t>2.5 除经发包人特殊的同意情况外，承包人员工必须符合以下条件：</w:t>
      </w:r>
    </w:p>
    <w:p>
      <w:pPr>
        <w:pStyle w:val="194"/>
        <w:spacing w:line="360" w:lineRule="auto"/>
        <w:ind w:firstLine="480" w:firstLineChars="200"/>
        <w:jc w:val="left"/>
        <w:rPr>
          <w:rFonts w:ascii="宋体" w:hAnsi="宋体" w:cs="宋体"/>
          <w:sz w:val="24"/>
        </w:rPr>
      </w:pPr>
      <w:r>
        <w:rPr>
          <w:rFonts w:hint="eastAsia" w:ascii="宋体" w:hAnsi="宋体" w:cs="宋体"/>
          <w:sz w:val="24"/>
        </w:rPr>
        <w:t>（1）身体健康，精神状态良好;</w:t>
      </w:r>
    </w:p>
    <w:p>
      <w:pPr>
        <w:pStyle w:val="194"/>
        <w:spacing w:line="360" w:lineRule="auto"/>
        <w:ind w:firstLine="480" w:firstLineChars="200"/>
        <w:jc w:val="left"/>
        <w:rPr>
          <w:rFonts w:ascii="宋体" w:hAnsi="宋体" w:cs="宋体"/>
          <w:sz w:val="24"/>
        </w:rPr>
      </w:pPr>
      <w:r>
        <w:rPr>
          <w:rFonts w:hint="eastAsia" w:ascii="宋体" w:hAnsi="宋体" w:cs="宋体"/>
          <w:sz w:val="24"/>
        </w:rPr>
        <w:t>（2）具有初中或以上学历。能有效和清楚地口头和书面表达自己;</w:t>
      </w:r>
    </w:p>
    <w:p>
      <w:pPr>
        <w:pStyle w:val="194"/>
        <w:spacing w:line="360" w:lineRule="auto"/>
        <w:ind w:firstLine="480" w:firstLineChars="200"/>
        <w:jc w:val="left"/>
        <w:rPr>
          <w:rFonts w:ascii="宋体" w:hAnsi="宋体" w:cs="宋体"/>
          <w:sz w:val="24"/>
        </w:rPr>
      </w:pPr>
      <w:r>
        <w:rPr>
          <w:rFonts w:hint="eastAsia" w:ascii="宋体" w:hAnsi="宋体" w:cs="宋体"/>
          <w:sz w:val="24"/>
        </w:rPr>
        <w:t>（3）未患有职业病鉴定委员会鉴定的职业病。</w:t>
      </w:r>
    </w:p>
    <w:p>
      <w:pPr>
        <w:pStyle w:val="194"/>
        <w:spacing w:line="360" w:lineRule="auto"/>
        <w:ind w:firstLine="480" w:firstLineChars="200"/>
        <w:jc w:val="left"/>
        <w:rPr>
          <w:rFonts w:ascii="宋体" w:hAnsi="宋体" w:cs="宋体"/>
          <w:sz w:val="24"/>
        </w:rPr>
      </w:pPr>
      <w:r>
        <w:rPr>
          <w:rFonts w:hint="eastAsia" w:ascii="宋体" w:hAnsi="宋体" w:cs="宋体"/>
          <w:sz w:val="24"/>
        </w:rPr>
        <w:t>2.6 教育承包人员工遵守中华人民共和国法律法规和发包人的工作规章。</w:t>
      </w:r>
    </w:p>
    <w:p>
      <w:pPr>
        <w:pStyle w:val="194"/>
        <w:spacing w:line="360" w:lineRule="auto"/>
        <w:ind w:firstLine="480" w:firstLineChars="200"/>
        <w:jc w:val="left"/>
        <w:rPr>
          <w:rFonts w:ascii="宋体" w:hAnsi="宋体" w:cs="宋体"/>
          <w:sz w:val="24"/>
        </w:rPr>
      </w:pPr>
      <w:r>
        <w:rPr>
          <w:rFonts w:hint="eastAsia" w:ascii="宋体" w:hAnsi="宋体" w:cs="宋体"/>
          <w:sz w:val="24"/>
        </w:rPr>
        <w:t>2.7 承包人在本合同的执行期内应保守发包人的各项商业秘密，不得将有关资料透露给任何第三方。承包人应教育员工保守发包人的各项商业秘密，如因承包人员工的原因(经发包人允许事宜除外)导致发包人有关的商业秘密泄露，承包人应承担相应的法律责任。</w:t>
      </w:r>
    </w:p>
    <w:p>
      <w:pPr>
        <w:pStyle w:val="194"/>
        <w:spacing w:line="360" w:lineRule="auto"/>
        <w:ind w:firstLine="480" w:firstLineChars="200"/>
        <w:jc w:val="left"/>
        <w:rPr>
          <w:rFonts w:ascii="宋体" w:hAnsi="宋体" w:cs="宋体"/>
          <w:sz w:val="24"/>
        </w:rPr>
      </w:pPr>
      <w:r>
        <w:rPr>
          <w:rFonts w:hint="eastAsia" w:ascii="宋体" w:hAnsi="宋体" w:cs="宋体"/>
          <w:sz w:val="24"/>
        </w:rPr>
        <w:t>2.8 承包人应根据当地政府的有关规定，按月支付其员工的工资，为其员工按规定投缴社会保险及支付其他国家规定相关费用，承包人支付员工的工资不得低于当地政府最低工资规定。</w:t>
      </w:r>
    </w:p>
    <w:p>
      <w:pPr>
        <w:pStyle w:val="194"/>
        <w:spacing w:line="360" w:lineRule="auto"/>
        <w:ind w:firstLine="480" w:firstLineChars="200"/>
        <w:jc w:val="left"/>
        <w:rPr>
          <w:rFonts w:ascii="宋体" w:hAnsi="宋体" w:cs="宋体"/>
          <w:sz w:val="24"/>
        </w:rPr>
      </w:pPr>
      <w:r>
        <w:rPr>
          <w:rFonts w:hint="eastAsia" w:ascii="宋体" w:hAnsi="宋体" w:cs="宋体"/>
          <w:sz w:val="24"/>
        </w:rPr>
        <w:t>2.9 承包人应遵照发包人的制度进行生产管理，包括考勤制度的建立，操作流程制定、员工离职和违纪处理等。</w:t>
      </w:r>
    </w:p>
    <w:p>
      <w:pPr>
        <w:pStyle w:val="194"/>
        <w:spacing w:line="360" w:lineRule="auto"/>
        <w:ind w:firstLine="480" w:firstLineChars="200"/>
        <w:jc w:val="left"/>
        <w:rPr>
          <w:rFonts w:ascii="宋体" w:hAnsi="宋体" w:cs="宋体"/>
          <w:sz w:val="24"/>
        </w:rPr>
      </w:pPr>
      <w:r>
        <w:rPr>
          <w:rFonts w:hint="eastAsia" w:ascii="宋体" w:hAnsi="宋体" w:cs="宋体"/>
          <w:sz w:val="24"/>
        </w:rPr>
        <w:t>2.10 承包人应教导其员工严格按照发包人的工作描述，生产操作规程等质量标准进行工作。</w:t>
      </w:r>
    </w:p>
    <w:p>
      <w:pPr>
        <w:pStyle w:val="194"/>
        <w:spacing w:line="360" w:lineRule="auto"/>
        <w:ind w:firstLine="480" w:firstLineChars="200"/>
        <w:jc w:val="left"/>
        <w:rPr>
          <w:rFonts w:ascii="宋体" w:hAnsi="宋体" w:cs="宋体"/>
          <w:sz w:val="24"/>
        </w:rPr>
      </w:pPr>
      <w:r>
        <w:rPr>
          <w:rFonts w:hint="eastAsia" w:ascii="宋体" w:hAnsi="宋体" w:cs="宋体"/>
          <w:sz w:val="24"/>
        </w:rPr>
        <w:t>2.11 除非征得发包人许可，承包人不能随意调换其员工的工作岗位，更不的随意召回其员工(承包人员工辞职除外)。</w:t>
      </w:r>
    </w:p>
    <w:p>
      <w:pPr>
        <w:pStyle w:val="194"/>
        <w:spacing w:line="360" w:lineRule="auto"/>
        <w:ind w:firstLine="480" w:firstLineChars="200"/>
        <w:jc w:val="left"/>
        <w:rPr>
          <w:rFonts w:ascii="宋体" w:hAnsi="宋体" w:cs="宋体"/>
          <w:sz w:val="24"/>
        </w:rPr>
      </w:pPr>
      <w:r>
        <w:rPr>
          <w:rFonts w:hint="eastAsia" w:ascii="宋体" w:hAnsi="宋体" w:cs="宋体"/>
          <w:sz w:val="24"/>
        </w:rPr>
        <w:t>2.12 因承包人员工所造成承包人外包工作岗位空缺，承包人应自接到通知后2个工作日内补齐。</w:t>
      </w:r>
    </w:p>
    <w:p>
      <w:pPr>
        <w:pStyle w:val="194"/>
        <w:spacing w:line="360" w:lineRule="auto"/>
        <w:ind w:firstLine="480" w:firstLineChars="200"/>
        <w:jc w:val="left"/>
        <w:rPr>
          <w:rFonts w:ascii="宋体" w:hAnsi="宋体" w:cs="宋体"/>
          <w:sz w:val="24"/>
        </w:rPr>
      </w:pPr>
      <w:r>
        <w:rPr>
          <w:rFonts w:hint="eastAsia" w:ascii="宋体" w:hAnsi="宋体" w:cs="宋体"/>
          <w:sz w:val="24"/>
        </w:rPr>
        <w:t>第九条  合同终止</w:t>
      </w:r>
    </w:p>
    <w:p>
      <w:pPr>
        <w:pStyle w:val="194"/>
        <w:spacing w:line="360" w:lineRule="auto"/>
        <w:ind w:firstLine="480" w:firstLineChars="200"/>
        <w:jc w:val="left"/>
        <w:rPr>
          <w:rFonts w:ascii="宋体" w:hAnsi="宋体" w:cs="宋体"/>
          <w:sz w:val="24"/>
        </w:rPr>
      </w:pPr>
      <w:r>
        <w:rPr>
          <w:rFonts w:hint="eastAsia" w:ascii="宋体" w:hAnsi="宋体" w:cs="宋体"/>
          <w:sz w:val="24"/>
        </w:rPr>
        <w:t>1.由于发包人原因要求终止合同，发包人应至少提前1个月通知承包人，并要承担违约责任，发包人向承包人结清已完成项目款后，按实际服务进展支付</w:t>
      </w:r>
      <w:r>
        <w:rPr>
          <w:rFonts w:hint="eastAsia" w:ascii="宋体" w:hAnsi="宋体" w:cs="宋体"/>
          <w:sz w:val="24"/>
          <w:lang w:val="en-US" w:eastAsia="zh-CN"/>
        </w:rPr>
        <w:t>违约金</w:t>
      </w:r>
      <w:r>
        <w:rPr>
          <w:rFonts w:hint="eastAsia" w:ascii="宋体" w:hAnsi="宋体" w:cs="宋体"/>
          <w:sz w:val="24"/>
        </w:rPr>
        <w:t>，最高不超过</w:t>
      </w:r>
      <w:r>
        <w:rPr>
          <w:rFonts w:hint="eastAsia" w:ascii="宋体" w:hAnsi="宋体" w:cs="宋体"/>
          <w:sz w:val="24"/>
          <w:lang w:val="en-US" w:eastAsia="zh-CN"/>
        </w:rPr>
        <w:t>项目</w:t>
      </w:r>
      <w:r>
        <w:rPr>
          <w:rFonts w:hint="eastAsia" w:ascii="宋体" w:hAnsi="宋体" w:cs="宋体"/>
          <w:sz w:val="24"/>
        </w:rPr>
        <w:t>款的10%。</w:t>
      </w:r>
    </w:p>
    <w:p>
      <w:pPr>
        <w:pStyle w:val="194"/>
        <w:spacing w:line="360" w:lineRule="auto"/>
        <w:ind w:firstLine="480" w:firstLineChars="200"/>
        <w:jc w:val="left"/>
        <w:rPr>
          <w:rFonts w:ascii="宋体" w:hAnsi="宋体" w:cs="宋体"/>
          <w:sz w:val="24"/>
        </w:rPr>
      </w:pPr>
      <w:r>
        <w:rPr>
          <w:rFonts w:hint="eastAsia" w:ascii="宋体" w:hAnsi="宋体" w:cs="宋体"/>
          <w:sz w:val="24"/>
        </w:rPr>
        <w:t>2.由于承包人原因要求终止合同，承包人应至少提前1个月通知发包人，并要承担违约</w:t>
      </w:r>
      <w:r>
        <w:rPr>
          <w:rFonts w:hint="eastAsia" w:ascii="宋体" w:hAnsi="宋体" w:cs="宋体"/>
          <w:sz w:val="24"/>
          <w:lang w:val="en-US" w:eastAsia="zh-CN"/>
        </w:rPr>
        <w:t>进</w:t>
      </w:r>
      <w:r>
        <w:rPr>
          <w:rFonts w:hint="eastAsia" w:ascii="宋体" w:hAnsi="宋体" w:cs="宋体"/>
          <w:sz w:val="24"/>
        </w:rPr>
        <w:t>，最高不超过项目款的10%。</w:t>
      </w:r>
      <w:r>
        <w:rPr>
          <w:rFonts w:hint="eastAsia" w:ascii="宋体" w:hAnsi="宋体" w:cs="宋体"/>
          <w:sz w:val="24"/>
          <w:lang w:val="en-US" w:eastAsia="zh-CN"/>
        </w:rPr>
        <w:t>对于发包人超过服务进度支付的款项应当予以退换。给发包人造成损失的，由承包人还应予以赔偿。</w:t>
      </w:r>
    </w:p>
    <w:p>
      <w:pPr>
        <w:pStyle w:val="194"/>
        <w:spacing w:line="360" w:lineRule="auto"/>
        <w:ind w:firstLine="480" w:firstLineChars="200"/>
        <w:jc w:val="left"/>
        <w:rPr>
          <w:rFonts w:ascii="宋体" w:hAnsi="宋体" w:cs="宋体"/>
          <w:sz w:val="24"/>
        </w:rPr>
      </w:pPr>
      <w:r>
        <w:rPr>
          <w:rFonts w:hint="eastAsia" w:ascii="宋体" w:hAnsi="宋体" w:cs="宋体"/>
          <w:sz w:val="24"/>
        </w:rPr>
        <w:t>3.如承包人未按本合同规定与员工签订合同，或拖欠员工工资，或支付员工的工资低于当地最低工资规定，发包人可责令其限期改正</w:t>
      </w:r>
      <w:r>
        <w:rPr>
          <w:rFonts w:hint="eastAsia" w:ascii="宋体" w:hAnsi="宋体" w:cs="宋体"/>
          <w:sz w:val="24"/>
          <w:lang w:eastAsia="zh-CN"/>
        </w:rPr>
        <w:t>。</w:t>
      </w:r>
      <w:r>
        <w:rPr>
          <w:rFonts w:hint="eastAsia" w:ascii="宋体" w:hAnsi="宋体" w:cs="宋体"/>
          <w:sz w:val="24"/>
          <w:lang w:val="en-US" w:eastAsia="zh-CN"/>
        </w:rPr>
        <w:t>对于本合同约定的发包人有权要求承包改正的内容，</w:t>
      </w:r>
      <w:r>
        <w:rPr>
          <w:rFonts w:hint="eastAsia" w:ascii="宋体" w:hAnsi="宋体" w:cs="宋体"/>
          <w:sz w:val="24"/>
        </w:rPr>
        <w:t>承包人逾期未改的，发包人有权单方终止合同，</w:t>
      </w:r>
      <w:r>
        <w:rPr>
          <w:rFonts w:hint="eastAsia" w:ascii="宋体" w:hAnsi="宋体" w:cs="宋体"/>
          <w:sz w:val="24"/>
          <w:lang w:val="en-US" w:eastAsia="zh-CN"/>
        </w:rPr>
        <w:t>并有权要求承包人承担违约金，最高不超过项目款的 10%，对于发包人超过服务进度支付的款项承包人应当予以退换。</w:t>
      </w:r>
      <w:r>
        <w:rPr>
          <w:rFonts w:hint="eastAsia" w:ascii="宋体" w:hAnsi="宋体" w:cs="宋体"/>
          <w:sz w:val="24"/>
        </w:rPr>
        <w:t>给发包人造成损失的，由承包人</w:t>
      </w:r>
      <w:r>
        <w:rPr>
          <w:rFonts w:hint="eastAsia" w:ascii="宋体" w:hAnsi="宋体" w:cs="宋体"/>
          <w:sz w:val="24"/>
          <w:lang w:val="en-US" w:eastAsia="zh-CN"/>
        </w:rPr>
        <w:t>还应</w:t>
      </w:r>
      <w:r>
        <w:rPr>
          <w:rFonts w:hint="eastAsia" w:ascii="宋体" w:hAnsi="宋体" w:cs="宋体"/>
          <w:sz w:val="24"/>
        </w:rPr>
        <w:t>予以赔偿。</w:t>
      </w:r>
    </w:p>
    <w:p>
      <w:pPr>
        <w:pStyle w:val="194"/>
        <w:spacing w:line="360" w:lineRule="auto"/>
        <w:ind w:firstLine="480" w:firstLineChars="200"/>
        <w:jc w:val="left"/>
        <w:rPr>
          <w:rFonts w:ascii="宋体" w:hAnsi="宋体" w:cs="宋体"/>
          <w:sz w:val="24"/>
        </w:rPr>
      </w:pPr>
      <w:r>
        <w:rPr>
          <w:rFonts w:hint="eastAsia" w:ascii="宋体" w:hAnsi="宋体" w:cs="宋体"/>
          <w:sz w:val="24"/>
          <w:lang w:val="en-US" w:eastAsia="zh-CN"/>
        </w:rPr>
        <w:t>4</w:t>
      </w:r>
      <w:r>
        <w:rPr>
          <w:rFonts w:hint="eastAsia" w:ascii="宋体" w:hAnsi="宋体" w:cs="宋体"/>
          <w:sz w:val="24"/>
        </w:rPr>
        <w:t>.如因不可抗力或政策变化导致项目暂停或取消，发包人、承包人双方均不承担违约责任。</w:t>
      </w:r>
    </w:p>
    <w:p>
      <w:pPr>
        <w:pStyle w:val="194"/>
        <w:spacing w:line="360" w:lineRule="auto"/>
        <w:ind w:firstLine="480" w:firstLineChars="200"/>
        <w:jc w:val="left"/>
        <w:rPr>
          <w:rFonts w:ascii="宋体" w:hAnsi="宋体" w:cs="宋体"/>
          <w:sz w:val="24"/>
        </w:rPr>
      </w:pPr>
      <w:r>
        <w:rPr>
          <w:rFonts w:hint="eastAsia" w:ascii="宋体" w:hAnsi="宋体" w:cs="宋体"/>
          <w:sz w:val="24"/>
          <w:lang w:val="en-US" w:eastAsia="zh-CN"/>
        </w:rPr>
        <w:t>5</w:t>
      </w:r>
      <w:r>
        <w:rPr>
          <w:rFonts w:hint="eastAsia" w:ascii="宋体" w:hAnsi="宋体" w:cs="宋体"/>
          <w:sz w:val="24"/>
        </w:rPr>
        <w:t>.发包人、承包人双方除因书面协商一致外，任何一方均不得将本合同中权利和义务转让给其他第三方。</w:t>
      </w:r>
    </w:p>
    <w:p>
      <w:pPr>
        <w:pStyle w:val="194"/>
        <w:spacing w:line="360" w:lineRule="auto"/>
        <w:ind w:firstLine="480" w:firstLineChars="200"/>
        <w:jc w:val="left"/>
        <w:rPr>
          <w:rFonts w:ascii="宋体" w:hAnsi="宋体" w:cs="宋体"/>
          <w:sz w:val="24"/>
        </w:rPr>
      </w:pPr>
      <w:r>
        <w:rPr>
          <w:rFonts w:hint="eastAsia" w:ascii="宋体" w:hAnsi="宋体" w:cs="宋体"/>
          <w:sz w:val="24"/>
        </w:rPr>
        <w:t>第十条  争议及未尽事宜</w:t>
      </w:r>
    </w:p>
    <w:p>
      <w:pPr>
        <w:pStyle w:val="194"/>
        <w:spacing w:line="360" w:lineRule="auto"/>
        <w:ind w:firstLine="480" w:firstLineChars="200"/>
        <w:jc w:val="left"/>
        <w:rPr>
          <w:rFonts w:ascii="宋体" w:hAnsi="宋体" w:cs="宋体"/>
          <w:sz w:val="24"/>
        </w:rPr>
      </w:pPr>
      <w:r>
        <w:rPr>
          <w:rFonts w:hint="eastAsia" w:ascii="宋体" w:hAnsi="宋体" w:cs="宋体"/>
          <w:sz w:val="24"/>
        </w:rPr>
        <w:t>1.关于本合同的任何争议，发包人、承包人双方应协商解决，不能解决的，任何一方均有权向</w:t>
      </w:r>
      <w:r>
        <w:rPr>
          <w:rFonts w:hint="eastAsia" w:ascii="宋体" w:hAnsi="宋体" w:cs="宋体"/>
          <w:sz w:val="24"/>
          <w:lang w:val="en-US" w:eastAsia="zh-CN"/>
        </w:rPr>
        <w:t>甲方所在地</w:t>
      </w:r>
      <w:r>
        <w:rPr>
          <w:rFonts w:hint="eastAsia" w:ascii="宋体" w:hAnsi="宋体" w:cs="宋体"/>
          <w:sz w:val="24"/>
        </w:rPr>
        <w:t>有管辖权的法院起诉。</w:t>
      </w:r>
    </w:p>
    <w:p>
      <w:pPr>
        <w:pStyle w:val="194"/>
        <w:spacing w:line="360" w:lineRule="auto"/>
        <w:ind w:firstLine="480" w:firstLineChars="200"/>
        <w:jc w:val="left"/>
        <w:rPr>
          <w:rFonts w:ascii="宋体" w:hAnsi="宋体" w:cs="宋体"/>
          <w:sz w:val="24"/>
        </w:rPr>
      </w:pPr>
      <w:r>
        <w:rPr>
          <w:rFonts w:hint="eastAsia" w:ascii="宋体" w:hAnsi="宋体" w:cs="宋体"/>
          <w:sz w:val="24"/>
        </w:rPr>
        <w:t>2.本协议未尽事宜或与国家有关法律、法规、规定相悖的，均按国家有关法律、法规、规定执行。</w:t>
      </w:r>
    </w:p>
    <w:p>
      <w:pPr>
        <w:pStyle w:val="194"/>
        <w:spacing w:line="360" w:lineRule="auto"/>
        <w:ind w:firstLine="480" w:firstLineChars="200"/>
        <w:jc w:val="left"/>
        <w:rPr>
          <w:rFonts w:ascii="宋体" w:hAnsi="宋体" w:cs="宋体"/>
          <w:sz w:val="24"/>
        </w:rPr>
      </w:pPr>
      <w:r>
        <w:rPr>
          <w:rFonts w:hint="eastAsia" w:ascii="宋体" w:hAnsi="宋体" w:cs="宋体"/>
          <w:sz w:val="24"/>
        </w:rPr>
        <w:t>3.任何一方就对方针对本合同项下任何条款的违约行为的自动弃权或重复性弃权不应被视为是对下一次针对同一条款的违约行为、或针对其它条款的违约行为的弃权。</w:t>
      </w:r>
    </w:p>
    <w:p>
      <w:pPr>
        <w:pStyle w:val="194"/>
        <w:spacing w:line="360" w:lineRule="auto"/>
        <w:ind w:firstLine="480" w:firstLineChars="200"/>
        <w:jc w:val="left"/>
        <w:rPr>
          <w:rFonts w:ascii="宋体" w:hAnsi="宋体" w:cs="宋体"/>
          <w:sz w:val="24"/>
        </w:rPr>
      </w:pPr>
      <w:r>
        <w:rPr>
          <w:rFonts w:hint="eastAsia" w:ascii="宋体" w:hAnsi="宋体" w:cs="宋体"/>
          <w:sz w:val="24"/>
        </w:rPr>
        <w:t>4.本合同在履行过程中，如发包人、承包人双方所在地区劳动力价格及用工成本进行显著调整(如当地最低工资标准、员工福利待遇发生显著变化的等等)，发包人、承包人双方应本着友好平等协商的原则，积极予以解决。</w:t>
      </w:r>
    </w:p>
    <w:p>
      <w:pPr>
        <w:pStyle w:val="194"/>
        <w:spacing w:line="360" w:lineRule="auto"/>
        <w:ind w:firstLine="480" w:firstLineChars="200"/>
        <w:jc w:val="left"/>
        <w:rPr>
          <w:rFonts w:ascii="宋体" w:hAnsi="宋体" w:cs="宋体"/>
          <w:sz w:val="24"/>
        </w:rPr>
      </w:pPr>
      <w:r>
        <w:rPr>
          <w:rFonts w:hint="eastAsia" w:ascii="宋体" w:hAnsi="宋体" w:cs="宋体"/>
          <w:sz w:val="24"/>
        </w:rPr>
        <w:t>5.未尽事宜发包人、承包人双方协商解决。</w:t>
      </w:r>
    </w:p>
    <w:p>
      <w:pPr>
        <w:pStyle w:val="194"/>
        <w:spacing w:line="360" w:lineRule="auto"/>
        <w:ind w:firstLine="480" w:firstLineChars="200"/>
        <w:jc w:val="left"/>
        <w:rPr>
          <w:rFonts w:ascii="宋体" w:hAnsi="宋体" w:cs="宋体"/>
          <w:sz w:val="24"/>
        </w:rPr>
      </w:pPr>
      <w:r>
        <w:rPr>
          <w:rFonts w:hint="eastAsia" w:ascii="宋体" w:hAnsi="宋体" w:cs="宋体"/>
          <w:sz w:val="24"/>
        </w:rPr>
        <w:t>本合同</w:t>
      </w:r>
      <w:r>
        <w:rPr>
          <w:rFonts w:hint="eastAsia" w:ascii="宋体" w:hAnsi="宋体" w:cs="宋体"/>
          <w:sz w:val="24"/>
          <w:u w:val="single"/>
        </w:rPr>
        <w:t xml:space="preserve"> 一 </w:t>
      </w:r>
      <w:r>
        <w:rPr>
          <w:rFonts w:hint="eastAsia" w:ascii="宋体" w:hAnsi="宋体" w:cs="宋体"/>
          <w:sz w:val="24"/>
        </w:rPr>
        <w:t>式</w:t>
      </w:r>
      <w:r>
        <w:rPr>
          <w:rFonts w:hint="eastAsia" w:ascii="宋体" w:hAnsi="宋体" w:cs="宋体"/>
          <w:sz w:val="24"/>
          <w:u w:val="single"/>
        </w:rPr>
        <w:t xml:space="preserve"> 陆 </w:t>
      </w:r>
      <w:r>
        <w:rPr>
          <w:rFonts w:hint="eastAsia" w:ascii="宋体" w:hAnsi="宋体" w:cs="宋体"/>
          <w:sz w:val="24"/>
        </w:rPr>
        <w:t>份，经双方权代表人签字/盖章之日起生效。发包人、承包人双方各执</w:t>
      </w:r>
      <w:r>
        <w:rPr>
          <w:rFonts w:hint="eastAsia" w:ascii="宋体" w:hAnsi="宋体" w:cs="宋体"/>
          <w:sz w:val="24"/>
          <w:u w:val="single"/>
        </w:rPr>
        <w:t xml:space="preserve"> 叁 </w:t>
      </w:r>
      <w:r>
        <w:rPr>
          <w:rFonts w:hint="eastAsia" w:ascii="宋体" w:hAnsi="宋体" w:cs="宋体"/>
          <w:sz w:val="24"/>
        </w:rPr>
        <w:t>份，具有同等法律效力。</w:t>
      </w:r>
    </w:p>
    <w:tbl>
      <w:tblPr>
        <w:tblStyle w:val="45"/>
        <w:tblW w:w="0" w:type="auto"/>
        <w:tblInd w:w="0" w:type="dxa"/>
        <w:tblLayout w:type="autofit"/>
        <w:tblCellMar>
          <w:top w:w="0" w:type="dxa"/>
          <w:left w:w="108" w:type="dxa"/>
          <w:bottom w:w="0" w:type="dxa"/>
          <w:right w:w="108" w:type="dxa"/>
        </w:tblCellMar>
      </w:tblPr>
      <w:tblGrid>
        <w:gridCol w:w="4261"/>
        <w:gridCol w:w="4261"/>
      </w:tblGrid>
      <w:tr>
        <w:trPr>
          <w:trHeight w:val="3001" w:hRule="atLeast"/>
        </w:trPr>
        <w:tc>
          <w:tcPr>
            <w:tcW w:w="4261" w:type="dxa"/>
          </w:tcPr>
          <w:p>
            <w:pPr>
              <w:pStyle w:val="194"/>
              <w:spacing w:line="360" w:lineRule="auto"/>
              <w:ind w:left="420" w:leftChars="200"/>
              <w:rPr>
                <w:rFonts w:hint="eastAsia" w:ascii="宋体" w:hAnsi="宋体" w:cs="宋体"/>
                <w:sz w:val="24"/>
                <w:u w:val="single"/>
                <w:lang w:eastAsia="zh-CN"/>
              </w:rPr>
            </w:pPr>
            <w:r>
              <w:rPr>
                <w:rFonts w:hint="eastAsia" w:ascii="宋体" w:hAnsi="宋体" w:cs="宋体"/>
                <w:sz w:val="24"/>
              </w:rPr>
              <w:t>发包人：</w:t>
            </w:r>
            <w:r>
              <w:rPr>
                <w:rFonts w:hint="eastAsia" w:ascii="宋体" w:hAnsi="宋体" w:cs="宋体"/>
                <w:sz w:val="24"/>
                <w:u w:val="single"/>
                <w:lang w:eastAsia="zh-CN"/>
              </w:rPr>
              <w:t>武汉长江新区生态环境和水务湖泊局</w:t>
            </w:r>
          </w:p>
          <w:p>
            <w:pPr>
              <w:pStyle w:val="194"/>
              <w:spacing w:line="360" w:lineRule="auto"/>
              <w:ind w:left="420" w:leftChars="200"/>
              <w:rPr>
                <w:rFonts w:ascii="宋体" w:hAnsi="宋体" w:cs="宋体"/>
                <w:sz w:val="24"/>
              </w:rPr>
            </w:pPr>
            <w:r>
              <w:rPr>
                <w:rFonts w:hint="eastAsia" w:ascii="宋体" w:hAnsi="宋体" w:cs="宋体"/>
                <w:sz w:val="24"/>
              </w:rPr>
              <w:t>法定代表人：</w:t>
            </w:r>
          </w:p>
          <w:p>
            <w:pPr>
              <w:pStyle w:val="194"/>
              <w:spacing w:line="360" w:lineRule="auto"/>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委托代理人：</w:t>
            </w:r>
          </w:p>
        </w:tc>
        <w:tc>
          <w:tcPr>
            <w:tcW w:w="4261" w:type="dxa"/>
          </w:tcPr>
          <w:p>
            <w:pPr>
              <w:pStyle w:val="194"/>
              <w:spacing w:line="360" w:lineRule="auto"/>
              <w:ind w:firstLine="480" w:firstLineChars="200"/>
              <w:rPr>
                <w:rFonts w:ascii="宋体" w:hAnsi="宋体" w:cs="宋体"/>
                <w:sz w:val="24"/>
                <w:u w:val="single"/>
              </w:rPr>
            </w:pPr>
            <w:r>
              <w:rPr>
                <w:rFonts w:hint="eastAsia" w:ascii="宋体" w:hAnsi="宋体" w:cs="宋体"/>
                <w:sz w:val="24"/>
              </w:rPr>
              <w:t>承包人：</w:t>
            </w:r>
            <w:r>
              <w:rPr>
                <w:rFonts w:hint="eastAsia" w:ascii="宋体" w:hAnsi="宋体" w:cs="宋体"/>
                <w:sz w:val="24"/>
                <w:u w:val="single"/>
              </w:rPr>
              <w:t xml:space="preserve">                        </w:t>
            </w:r>
          </w:p>
          <w:p>
            <w:pPr>
              <w:pStyle w:val="194"/>
              <w:spacing w:line="360" w:lineRule="auto"/>
              <w:ind w:firstLine="480" w:firstLineChars="200"/>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法定代表人：</w:t>
            </w:r>
          </w:p>
          <w:p>
            <w:pPr>
              <w:pStyle w:val="194"/>
              <w:spacing w:line="360" w:lineRule="auto"/>
              <w:ind w:firstLine="480" w:firstLineChars="200"/>
              <w:rPr>
                <w:rFonts w:ascii="宋体" w:hAnsi="宋体" w:cs="宋体"/>
                <w:sz w:val="24"/>
              </w:rPr>
            </w:pPr>
          </w:p>
          <w:p>
            <w:pPr>
              <w:pStyle w:val="194"/>
              <w:spacing w:line="360" w:lineRule="auto"/>
              <w:ind w:firstLine="480" w:firstLineChars="200"/>
              <w:rPr>
                <w:rFonts w:ascii="宋体" w:hAnsi="宋体" w:cs="宋体"/>
                <w:sz w:val="24"/>
              </w:rPr>
            </w:pPr>
            <w:r>
              <w:rPr>
                <w:rFonts w:hint="eastAsia" w:ascii="宋体" w:hAnsi="宋体" w:cs="宋体"/>
                <w:sz w:val="24"/>
              </w:rPr>
              <w:t>委托代理人：</w:t>
            </w:r>
          </w:p>
          <w:p>
            <w:pPr>
              <w:pStyle w:val="194"/>
              <w:spacing w:line="360" w:lineRule="auto"/>
              <w:ind w:firstLine="480" w:firstLineChars="200"/>
              <w:rPr>
                <w:rFonts w:ascii="宋体" w:hAnsi="宋体" w:cs="宋体"/>
                <w:sz w:val="24"/>
              </w:rPr>
            </w:pPr>
          </w:p>
        </w:tc>
      </w:tr>
      <w:tr>
        <w:tblPrEx>
          <w:tblCellMar>
            <w:top w:w="0" w:type="dxa"/>
            <w:left w:w="108" w:type="dxa"/>
            <w:bottom w:w="0" w:type="dxa"/>
            <w:right w:w="108" w:type="dxa"/>
          </w:tblCellMar>
        </w:tblPrEx>
        <w:tc>
          <w:tcPr>
            <w:tcW w:w="4261" w:type="dxa"/>
          </w:tcPr>
          <w:p>
            <w:pPr>
              <w:pStyle w:val="194"/>
              <w:spacing w:line="360" w:lineRule="auto"/>
              <w:ind w:firstLine="480" w:firstLineChars="200"/>
              <w:rPr>
                <w:rFonts w:ascii="宋体" w:hAnsi="宋体" w:cs="宋体"/>
                <w:sz w:val="24"/>
              </w:rPr>
            </w:pPr>
            <w:r>
              <w:rPr>
                <w:rFonts w:hint="eastAsia" w:ascii="宋体" w:hAnsi="宋体" w:cs="宋体"/>
                <w:sz w:val="24"/>
              </w:rPr>
              <w:t>日期：     年   月  日</w:t>
            </w:r>
          </w:p>
        </w:tc>
        <w:tc>
          <w:tcPr>
            <w:tcW w:w="4261" w:type="dxa"/>
          </w:tcPr>
          <w:p>
            <w:pPr>
              <w:pStyle w:val="194"/>
              <w:spacing w:line="360" w:lineRule="auto"/>
              <w:ind w:firstLine="480" w:firstLineChars="200"/>
              <w:rPr>
                <w:rFonts w:ascii="宋体" w:hAnsi="宋体" w:cs="宋体"/>
                <w:sz w:val="24"/>
              </w:rPr>
            </w:pPr>
            <w:r>
              <w:rPr>
                <w:rFonts w:hint="eastAsia" w:ascii="宋体" w:hAnsi="宋体" w:cs="宋体"/>
                <w:sz w:val="24"/>
              </w:rPr>
              <w:t>日期：     年   月   日</w:t>
            </w:r>
          </w:p>
        </w:tc>
      </w:tr>
    </w:tbl>
    <w:p>
      <w:pPr>
        <w:pStyle w:val="194"/>
        <w:spacing w:line="360" w:lineRule="auto"/>
        <w:ind w:firstLine="480" w:firstLineChars="200"/>
        <w:jc w:val="left"/>
        <w:rPr>
          <w:rFonts w:ascii="宋体" w:hAnsi="宋体" w:cs="宋体"/>
          <w:sz w:val="24"/>
        </w:rPr>
      </w:pPr>
    </w:p>
    <w:p>
      <w:pPr>
        <w:pStyle w:val="194"/>
        <w:spacing w:line="360" w:lineRule="auto"/>
        <w:ind w:firstLine="480" w:firstLineChars="200"/>
        <w:jc w:val="left"/>
        <w:rPr>
          <w:rFonts w:ascii="宋体" w:hAnsi="宋体" w:cs="宋体"/>
          <w:sz w:val="24"/>
        </w:rPr>
      </w:pPr>
    </w:p>
    <w:p>
      <w:pPr>
        <w:rPr>
          <w:rFonts w:ascii="宋体" w:hAnsi="宋体"/>
          <w:b/>
          <w:sz w:val="30"/>
          <w:szCs w:val="30"/>
        </w:rPr>
      </w:pPr>
      <w:r>
        <w:rPr>
          <w:rFonts w:hint="eastAsia" w:ascii="宋体" w:hAnsi="宋体" w:cs="宋体"/>
          <w:sz w:val="24"/>
        </w:rPr>
        <w:t>说明：合同格式及主要条款仅供参考，最终以甲乙双方签订合同为准。</w:t>
      </w:r>
    </w:p>
    <w:p>
      <w:pPr>
        <w:pStyle w:val="40"/>
        <w:spacing w:beforeAutospacing="0" w:after="240" w:afterAutospacing="0"/>
        <w:rPr>
          <w:sz w:val="40"/>
          <w:szCs w:val="40"/>
        </w:rPr>
      </w:pPr>
    </w:p>
    <w:p>
      <w:pPr>
        <w:snapToGrid w:val="0"/>
        <w:spacing w:line="360" w:lineRule="auto"/>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sectPr>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p>
    <w:p>
      <w:pPr>
        <w:pStyle w:val="3"/>
        <w:spacing w:before="120" w:after="120" w:line="360" w:lineRule="auto"/>
        <w:rPr>
          <w:rFonts w:asciiTheme="minorEastAsia" w:hAnsiTheme="minorEastAsia" w:eastAsiaTheme="minorEastAsia" w:cstheme="minorEastAsia"/>
          <w:color w:val="000000" w:themeColor="text1"/>
          <w14:textFill>
            <w14:solidFill>
              <w14:schemeClr w14:val="tx1"/>
            </w14:solidFill>
          </w14:textFill>
        </w:rPr>
      </w:pPr>
      <w:bookmarkStart w:id="152" w:name="_Toc7654"/>
      <w:bookmarkStart w:id="153" w:name="_Toc5140"/>
      <w:bookmarkStart w:id="154" w:name="_Toc4841"/>
      <w:bookmarkStart w:id="155" w:name="_Toc477625699"/>
      <w:r>
        <w:rPr>
          <w:rFonts w:hint="eastAsia" w:asciiTheme="minorEastAsia" w:hAnsiTheme="minorEastAsia" w:eastAsiaTheme="minorEastAsia" w:cstheme="minorEastAsia"/>
          <w:color w:val="000000" w:themeColor="text1"/>
          <w14:textFill>
            <w14:solidFill>
              <w14:schemeClr w14:val="tx1"/>
            </w14:solidFill>
          </w14:textFill>
        </w:rPr>
        <w:t xml:space="preserve">第五章 </w:t>
      </w:r>
      <w:bookmarkEnd w:id="152"/>
      <w:r>
        <w:rPr>
          <w:rFonts w:hint="eastAsia" w:asciiTheme="minorEastAsia" w:hAnsiTheme="minorEastAsia" w:eastAsiaTheme="minorEastAsia" w:cstheme="minorEastAsia"/>
          <w:color w:val="000000" w:themeColor="text1"/>
          <w14:textFill>
            <w14:solidFill>
              <w14:schemeClr w14:val="tx1"/>
            </w14:solidFill>
          </w14:textFill>
        </w:rPr>
        <w:t>评审程序、方法及标准</w:t>
      </w:r>
      <w:bookmarkEnd w:id="153"/>
      <w:bookmarkEnd w:id="154"/>
      <w:bookmarkEnd w:id="155"/>
    </w:p>
    <w:p>
      <w:pPr>
        <w:spacing w:line="360" w:lineRule="auto"/>
        <w:ind w:firstLine="480" w:firstLineChars="200"/>
        <w:rPr>
          <w:rFonts w:ascii="宋体" w:hAnsi="宋体"/>
          <w:sz w:val="24"/>
        </w:rPr>
      </w:pPr>
      <w:bookmarkStart w:id="156" w:name="_Toc470172701"/>
      <w:r>
        <w:rPr>
          <w:rFonts w:hint="eastAsia" w:ascii="宋体" w:hAnsi="宋体"/>
          <w:sz w:val="24"/>
        </w:rPr>
        <w:t>根据《中华人民共和国政府采购法》、《政府采购竞争性磋商采购方式管理暂行办法》等有关法律法规的规定，并结合本项目的实际，按照公正、公平、科学、择优的原则选择成交供应商，特制定本办法。</w:t>
      </w:r>
    </w:p>
    <w:p>
      <w:pPr>
        <w:spacing w:line="360" w:lineRule="auto"/>
        <w:ind w:firstLine="472" w:firstLineChars="196"/>
        <w:rPr>
          <w:rFonts w:ascii="宋体" w:hAnsi="宋体"/>
          <w:b/>
          <w:sz w:val="24"/>
        </w:rPr>
      </w:pPr>
      <w:bookmarkStart w:id="157" w:name="_Toc437290040"/>
      <w:bookmarkStart w:id="158" w:name="_Toc192303763"/>
      <w:bookmarkStart w:id="159" w:name="_Toc180383355"/>
      <w:bookmarkStart w:id="160" w:name="_Toc437874618"/>
      <w:r>
        <w:rPr>
          <w:rFonts w:hint="eastAsia" w:ascii="宋体" w:hAnsi="宋体"/>
          <w:b/>
          <w:sz w:val="24"/>
        </w:rPr>
        <w:t>一、总则</w:t>
      </w:r>
      <w:bookmarkEnd w:id="157"/>
      <w:bookmarkEnd w:id="158"/>
      <w:bookmarkEnd w:id="159"/>
      <w:bookmarkEnd w:id="160"/>
    </w:p>
    <w:p>
      <w:pPr>
        <w:spacing w:line="360" w:lineRule="auto"/>
        <w:ind w:firstLine="480" w:firstLineChars="200"/>
        <w:rPr>
          <w:rFonts w:ascii="宋体" w:hAnsi="宋体"/>
          <w:sz w:val="24"/>
        </w:rPr>
      </w:pPr>
      <w:r>
        <w:rPr>
          <w:rFonts w:hint="eastAsia" w:ascii="宋体" w:hAnsi="宋体"/>
          <w:sz w:val="24"/>
        </w:rPr>
        <w:t>评定总则和规定</w:t>
      </w:r>
    </w:p>
    <w:p>
      <w:pPr>
        <w:spacing w:line="360" w:lineRule="auto"/>
        <w:ind w:firstLine="480" w:firstLineChars="200"/>
        <w:rPr>
          <w:rFonts w:ascii="宋体" w:hAnsi="宋体"/>
          <w:sz w:val="24"/>
        </w:rPr>
      </w:pPr>
      <w:r>
        <w:rPr>
          <w:rFonts w:hint="eastAsia" w:ascii="宋体" w:hAnsi="宋体"/>
          <w:sz w:val="24"/>
        </w:rPr>
        <w:t>1、为最大限度地保护各当事人的权益，磋商小组应严格按照采购文件的要求进行评定，编制评定报告。评定人员必须严格遵守保密规定，不得泄漏评定有关的情况，不得索贿受贿，不得参加影响评定的任何活动。</w:t>
      </w:r>
    </w:p>
    <w:p>
      <w:pPr>
        <w:spacing w:line="360" w:lineRule="auto"/>
        <w:ind w:firstLine="480" w:firstLineChars="200"/>
        <w:rPr>
          <w:rFonts w:ascii="宋体" w:hAnsi="宋体"/>
          <w:sz w:val="24"/>
        </w:rPr>
      </w:pPr>
      <w:r>
        <w:rPr>
          <w:rFonts w:hint="eastAsia" w:ascii="宋体" w:hAnsi="宋体"/>
          <w:sz w:val="24"/>
        </w:rPr>
        <w:t>2、评定时，磋商小组应当对照采购文件规定的条件和标准，对各供应商响应文件的合格性、完整性和有效性进行审查、比较和评估，其中对供应商的资格条件、主要技术标准、商务报价和其他评审要素等，评定人员应逐项进行审查、比较，不得漏评少评。</w:t>
      </w:r>
    </w:p>
    <w:p>
      <w:pPr>
        <w:spacing w:line="360" w:lineRule="auto"/>
        <w:ind w:firstLine="480" w:firstLineChars="200"/>
        <w:rPr>
          <w:rFonts w:ascii="宋体" w:hAnsi="宋体"/>
          <w:sz w:val="24"/>
        </w:rPr>
      </w:pPr>
      <w:r>
        <w:rPr>
          <w:rFonts w:hint="eastAsia" w:ascii="宋体" w:hAnsi="宋体"/>
          <w:sz w:val="24"/>
        </w:rPr>
        <w:t>3、评定原则：</w:t>
      </w:r>
    </w:p>
    <w:p>
      <w:pPr>
        <w:spacing w:line="360" w:lineRule="auto"/>
        <w:ind w:firstLine="480" w:firstLineChars="200"/>
        <w:rPr>
          <w:rFonts w:ascii="宋体" w:hAnsi="宋体"/>
          <w:sz w:val="24"/>
        </w:rPr>
      </w:pPr>
      <w:r>
        <w:rPr>
          <w:rFonts w:hint="eastAsia" w:ascii="宋体" w:hAnsi="宋体"/>
          <w:sz w:val="24"/>
        </w:rPr>
        <w:t>3.1采取综合评分法。经磋商确定提交最后报价的供应商后，由磋商小组采用综合评分法对提交最后报价的供应商的响应文件和最后报价进行综合评分。综合评分法，是指磋商响应文件满足采购文件全部实质性要求且按评审因素的量化指标评审得分最高的供应商为成交候选供应商的评审方法。</w:t>
      </w:r>
    </w:p>
    <w:p>
      <w:pPr>
        <w:spacing w:line="360" w:lineRule="auto"/>
        <w:ind w:firstLine="600" w:firstLineChars="250"/>
        <w:rPr>
          <w:rFonts w:ascii="宋体" w:hAnsi="宋体"/>
          <w:sz w:val="24"/>
        </w:rPr>
      </w:pPr>
      <w:r>
        <w:rPr>
          <w:rFonts w:hint="eastAsia" w:ascii="宋体" w:hAnsi="宋体"/>
          <w:sz w:val="24"/>
        </w:rPr>
        <w:t>3.2磋商小组应当根据综合评分情况，按照评审得分由高到低顺序推荐3名以上成交候选供应商，并编写评审报告。评审得分相同的，按照最后报价由低到高的顺序推荐。评审得分且最后报价相同的，由磋商小组确定以按照技术指标优劣顺序或抽签确定排名先后推荐。</w:t>
      </w:r>
    </w:p>
    <w:p>
      <w:pPr>
        <w:spacing w:line="360" w:lineRule="auto"/>
        <w:ind w:firstLine="590" w:firstLineChars="245"/>
        <w:rPr>
          <w:rFonts w:ascii="宋体" w:hAnsi="宋体"/>
          <w:b/>
          <w:sz w:val="24"/>
        </w:rPr>
      </w:pPr>
      <w:bookmarkStart w:id="161" w:name="_Toc188781565"/>
      <w:bookmarkStart w:id="162" w:name="_Toc192303764"/>
      <w:bookmarkStart w:id="163" w:name="_Toc437874619"/>
      <w:bookmarkStart w:id="164" w:name="_Toc180383356"/>
      <w:bookmarkStart w:id="165" w:name="_Toc437290041"/>
      <w:r>
        <w:rPr>
          <w:rFonts w:hint="eastAsia" w:ascii="宋体" w:hAnsi="宋体"/>
          <w:b/>
          <w:sz w:val="24"/>
        </w:rPr>
        <w:t>二、评定组织</w:t>
      </w:r>
      <w:bookmarkEnd w:id="161"/>
      <w:bookmarkEnd w:id="162"/>
      <w:bookmarkEnd w:id="163"/>
      <w:bookmarkEnd w:id="164"/>
      <w:bookmarkEnd w:id="165"/>
    </w:p>
    <w:p>
      <w:pPr>
        <w:spacing w:line="360" w:lineRule="auto"/>
        <w:ind w:firstLine="360" w:firstLineChars="150"/>
        <w:rPr>
          <w:rFonts w:ascii="宋体" w:hAnsi="宋体"/>
          <w:sz w:val="24"/>
          <w:highlight w:val="none"/>
        </w:rPr>
      </w:pPr>
      <w:bookmarkStart w:id="166" w:name="_Toc180383359"/>
      <w:bookmarkStart w:id="167" w:name="_Toc188781566"/>
      <w:bookmarkStart w:id="168" w:name="_Toc437290042"/>
      <w:bookmarkStart w:id="169" w:name="_Toc437874620"/>
      <w:bookmarkStart w:id="170" w:name="_Toc192303765"/>
      <w:r>
        <w:rPr>
          <w:rFonts w:ascii="宋体" w:hAnsi="宋体"/>
          <w:sz w:val="24"/>
          <w:highlight w:val="none"/>
        </w:rPr>
        <w:t>本</w:t>
      </w:r>
      <w:r>
        <w:rPr>
          <w:rFonts w:hint="eastAsia" w:ascii="宋体" w:hAnsi="宋体"/>
          <w:sz w:val="24"/>
          <w:highlight w:val="none"/>
        </w:rPr>
        <w:t>项目</w:t>
      </w:r>
      <w:r>
        <w:rPr>
          <w:rFonts w:ascii="宋体" w:hAnsi="宋体"/>
          <w:sz w:val="24"/>
          <w:highlight w:val="none"/>
        </w:rPr>
        <w:t>评标委员会由</w:t>
      </w:r>
      <w:bookmarkStart w:id="171" w:name="PBWYHRYSL_"/>
      <w:bookmarkEnd w:id="171"/>
      <w:r>
        <w:rPr>
          <w:rFonts w:hint="eastAsia" w:ascii="宋体" w:hAnsi="宋体"/>
          <w:sz w:val="24"/>
          <w:highlight w:val="none"/>
        </w:rPr>
        <w:t>3人</w:t>
      </w:r>
      <w:r>
        <w:rPr>
          <w:rFonts w:ascii="宋体" w:hAnsi="宋体"/>
          <w:sz w:val="24"/>
          <w:highlight w:val="none"/>
        </w:rPr>
        <w:t>组成，其中</w:t>
      </w:r>
      <w:r>
        <w:rPr>
          <w:rFonts w:hint="eastAsia" w:asciiTheme="minorEastAsia" w:hAnsiTheme="minorEastAsia" w:eastAsiaTheme="minorEastAsia" w:cstheme="minorEastAsia"/>
          <w:b w:val="0"/>
          <w:bCs w:val="0"/>
          <w:kern w:val="0"/>
          <w:sz w:val="24"/>
          <w:szCs w:val="24"/>
          <w:highlight w:val="none"/>
          <w:u w:val="none"/>
          <w:lang w:bidi="zh-CN"/>
        </w:rPr>
        <w:t>湖北中楚建设工程咨询有限公司</w:t>
      </w:r>
      <w:r>
        <w:rPr>
          <w:rFonts w:ascii="宋体" w:hAnsi="宋体"/>
          <w:sz w:val="24"/>
          <w:highlight w:val="none"/>
        </w:rPr>
        <w:t>系统中随机抽取评标专家</w:t>
      </w:r>
      <w:bookmarkStart w:id="172" w:name="PBZJSL_"/>
      <w:bookmarkEnd w:id="172"/>
      <w:r>
        <w:rPr>
          <w:rFonts w:hint="eastAsia" w:ascii="宋体" w:hAnsi="宋体"/>
          <w:sz w:val="24"/>
          <w:highlight w:val="none"/>
          <w:u w:val="single"/>
          <w:lang w:val="en-US" w:eastAsia="zh-CN"/>
        </w:rPr>
        <w:t xml:space="preserve"> 3</w:t>
      </w:r>
      <w:r>
        <w:rPr>
          <w:rFonts w:ascii="宋体" w:hAnsi="宋体"/>
          <w:sz w:val="24"/>
          <w:highlight w:val="none"/>
        </w:rPr>
        <w:t>名</w:t>
      </w:r>
      <w:r>
        <w:rPr>
          <w:rFonts w:hint="eastAsia" w:ascii="宋体" w:hAnsi="宋体"/>
          <w:sz w:val="24"/>
          <w:highlight w:val="none"/>
        </w:rPr>
        <w:t>。</w:t>
      </w:r>
    </w:p>
    <w:p>
      <w:pPr>
        <w:spacing w:line="360" w:lineRule="auto"/>
        <w:ind w:firstLine="590" w:firstLineChars="245"/>
        <w:rPr>
          <w:rFonts w:ascii="宋体" w:hAnsi="宋体"/>
          <w:b/>
          <w:sz w:val="24"/>
        </w:rPr>
      </w:pPr>
      <w:r>
        <w:rPr>
          <w:rFonts w:hint="eastAsia" w:ascii="宋体" w:hAnsi="宋体"/>
          <w:b/>
          <w:sz w:val="24"/>
        </w:rPr>
        <w:t>三、</w:t>
      </w:r>
      <w:r>
        <w:rPr>
          <w:rFonts w:ascii="宋体" w:hAnsi="宋体"/>
          <w:b/>
          <w:sz w:val="24"/>
        </w:rPr>
        <w:t>评定程序</w:t>
      </w:r>
      <w:bookmarkEnd w:id="166"/>
      <w:bookmarkEnd w:id="167"/>
      <w:bookmarkEnd w:id="168"/>
      <w:bookmarkEnd w:id="169"/>
      <w:bookmarkEnd w:id="170"/>
    </w:p>
    <w:p>
      <w:pPr>
        <w:spacing w:line="360" w:lineRule="auto"/>
        <w:ind w:firstLine="600" w:firstLineChars="250"/>
        <w:rPr>
          <w:rFonts w:ascii="宋体" w:hAnsi="宋体"/>
          <w:sz w:val="24"/>
        </w:rPr>
      </w:pPr>
      <w:bookmarkStart w:id="173" w:name="_Toc437290043"/>
      <w:bookmarkStart w:id="174" w:name="_Toc437874621"/>
      <w:r>
        <w:rPr>
          <w:rFonts w:hint="eastAsia" w:ascii="宋体" w:hAnsi="宋体"/>
          <w:sz w:val="24"/>
        </w:rPr>
        <w:t>评定</w:t>
      </w:r>
      <w:r>
        <w:rPr>
          <w:rFonts w:ascii="宋体" w:hAnsi="宋体"/>
          <w:sz w:val="24"/>
        </w:rPr>
        <w:t>方式及程序：</w:t>
      </w:r>
    </w:p>
    <w:p>
      <w:pPr>
        <w:spacing w:line="360" w:lineRule="auto"/>
        <w:ind w:firstLine="600" w:firstLineChars="250"/>
        <w:rPr>
          <w:rFonts w:ascii="宋体" w:hAnsi="宋体"/>
          <w:sz w:val="24"/>
        </w:rPr>
      </w:pPr>
      <w:r>
        <w:rPr>
          <w:rFonts w:hint="eastAsia" w:ascii="宋体" w:hAnsi="宋体"/>
          <w:sz w:val="24"/>
        </w:rPr>
        <w:t>1、竞争性磋商方式</w:t>
      </w:r>
    </w:p>
    <w:p>
      <w:pPr>
        <w:spacing w:line="360" w:lineRule="auto"/>
        <w:ind w:firstLine="720" w:firstLineChars="300"/>
        <w:rPr>
          <w:rFonts w:ascii="宋体" w:hAnsi="宋体"/>
          <w:sz w:val="24"/>
        </w:rPr>
      </w:pPr>
      <w:r>
        <w:rPr>
          <w:rFonts w:hint="eastAsia" w:ascii="宋体" w:hAnsi="宋体"/>
          <w:sz w:val="24"/>
        </w:rPr>
        <w:t>1.1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spacing w:line="360" w:lineRule="auto"/>
        <w:ind w:firstLine="480" w:firstLineChars="200"/>
        <w:rPr>
          <w:rFonts w:ascii="宋体" w:hAnsi="宋体"/>
          <w:sz w:val="24"/>
        </w:rPr>
      </w:pPr>
      <w:r>
        <w:rPr>
          <w:rFonts w:hint="eastAsia" w:ascii="宋体" w:hAnsi="宋体"/>
          <w:sz w:val="24"/>
        </w:rPr>
        <w:t>1.2磋商小组所有成员应当集中与单一供应商分别进行磋商，并给予所有参加磋商的供应商平等的磋商机会；</w:t>
      </w:r>
    </w:p>
    <w:p>
      <w:pPr>
        <w:spacing w:line="360" w:lineRule="auto"/>
        <w:ind w:firstLine="480" w:firstLineChars="200"/>
        <w:rPr>
          <w:rFonts w:ascii="宋体" w:hAnsi="宋体"/>
          <w:sz w:val="24"/>
        </w:rPr>
      </w:pPr>
      <w:r>
        <w:rPr>
          <w:rFonts w:hint="eastAsia" w:ascii="宋体" w:hAnsi="宋体"/>
          <w:sz w:val="24"/>
        </w:rPr>
        <w:t>1.3在磋商过程中，磋商小组可以根据采购文件和磋商情况实质性变动采购需求中的技术标准及要求以及合同草案条款，但不得变动采购文件中的其他内容。实质性变动的内容，须经采购人代表确认。对采购文件作出的实质性变动是采购文件的有效组成部分，磋商小组应当及时以书面形式同时通知所有参加磋商的供应商。供应商应当按照采购文件的变动情况和磋商小组的要求重新提交响应文件，并由其法定代表人或授权代表签字或者加盖公章。由授权代表签字的，应当附法定代表人授权书。供应商为自然人的，应当由本人签字并附身份证明；</w:t>
      </w:r>
    </w:p>
    <w:p>
      <w:pPr>
        <w:spacing w:line="360" w:lineRule="auto"/>
        <w:ind w:firstLine="480" w:firstLineChars="200"/>
        <w:rPr>
          <w:rFonts w:ascii="宋体" w:hAnsi="宋体"/>
          <w:sz w:val="24"/>
        </w:rPr>
      </w:pPr>
      <w:r>
        <w:rPr>
          <w:rFonts w:hint="eastAsia" w:ascii="宋体" w:hAnsi="宋体"/>
          <w:sz w:val="24"/>
        </w:rPr>
        <w:t>1.4采购文件能够详细列明采购标的的技术标准及要求的，磋商结束后，磋商小组应当要求所有实质性响应的供应商在规定时间内提交最后报价，提交最后报价的供应商不得少于3家[采用竞争性磋商采购方式的政府购买服务项目（含政府和社会资本合作项目），在采购过程中符合要求的供应商（社会资本）只有2家的，竞争性磋商采购活动可以继续进行</w:t>
      </w:r>
      <w:r>
        <w:rPr>
          <w:rFonts w:ascii="宋体" w:hAnsi="宋体"/>
          <w:sz w:val="24"/>
        </w:rPr>
        <w:t>]</w:t>
      </w:r>
      <w:r>
        <w:rPr>
          <w:rFonts w:hint="eastAsia" w:ascii="宋体" w:hAnsi="宋体"/>
          <w:sz w:val="24"/>
        </w:rPr>
        <w:t>。采购文件不能详细列明采购标的的技术标准要求的，需经磋商由供应商提供最终设计方案或解决方案的，磋商结束后，磋商小组应当按照少数服从多数的原则投票推荐3家以上供应商的设计方案或者解决方案，并要求其在规定时间内提交最后报价。最后报价是供应商响应文件的有效组成部分。</w:t>
      </w:r>
    </w:p>
    <w:p>
      <w:pPr>
        <w:spacing w:line="360" w:lineRule="auto"/>
        <w:ind w:firstLine="360" w:firstLineChars="150"/>
        <w:rPr>
          <w:rFonts w:ascii="宋体" w:hAnsi="宋体"/>
          <w:sz w:val="24"/>
        </w:rPr>
      </w:pPr>
      <w:r>
        <w:rPr>
          <w:rFonts w:hint="eastAsia" w:ascii="宋体" w:hAnsi="宋体"/>
          <w:sz w:val="24"/>
        </w:rPr>
        <w:t>2、竞争性磋商</w:t>
      </w:r>
      <w:r>
        <w:rPr>
          <w:rFonts w:ascii="宋体" w:hAnsi="宋体"/>
          <w:sz w:val="24"/>
        </w:rPr>
        <w:t>程序：</w:t>
      </w:r>
    </w:p>
    <w:p>
      <w:pPr>
        <w:spacing w:line="360" w:lineRule="auto"/>
        <w:ind w:firstLine="360" w:firstLineChars="150"/>
        <w:rPr>
          <w:rFonts w:ascii="宋体" w:hAnsi="宋体"/>
          <w:sz w:val="24"/>
        </w:rPr>
      </w:pPr>
      <w:r>
        <w:rPr>
          <w:rFonts w:hint="eastAsia" w:ascii="宋体" w:hAnsi="宋体"/>
          <w:sz w:val="24"/>
        </w:rPr>
        <w:t>2.1第一轮磋商：对进入第一轮磋商的参谈供应商再次进行评审、质疑和澄清。在此阶段，磋商小组依据参谈供应商递交的响应文件进行技术和商务磋商，磋商小组可根据实际需要提出方案及技术标准要求，与单一供应商分别进行磋商，并给予所有参加磋商的供应商平等的磋商机会。要求参谈供应商进行重新承诺和第二次商务总报价，以满足业采购人最大需求；</w:t>
      </w:r>
    </w:p>
    <w:p>
      <w:pPr>
        <w:spacing w:line="360" w:lineRule="auto"/>
        <w:ind w:firstLine="360" w:firstLineChars="150"/>
        <w:rPr>
          <w:rFonts w:ascii="宋体" w:hAnsi="宋体"/>
          <w:sz w:val="24"/>
        </w:rPr>
      </w:pPr>
      <w:r>
        <w:rPr>
          <w:rFonts w:hint="eastAsia" w:ascii="宋体" w:hAnsi="宋体"/>
          <w:sz w:val="24"/>
        </w:rPr>
        <w:t>2.2第二轮磋商：对第一轮磋商结果不满意，磋商小组可以再次要求参谈供应商进行第二轮磋商，磋商内容及要求跟第一轮磋商相同；</w:t>
      </w:r>
    </w:p>
    <w:p>
      <w:pPr>
        <w:spacing w:line="360" w:lineRule="auto"/>
        <w:ind w:firstLine="360" w:firstLineChars="150"/>
        <w:rPr>
          <w:rFonts w:ascii="宋体" w:hAnsi="宋体"/>
          <w:sz w:val="24"/>
        </w:rPr>
      </w:pPr>
      <w:r>
        <w:rPr>
          <w:rFonts w:hint="eastAsia" w:ascii="宋体" w:hAnsi="宋体"/>
          <w:sz w:val="24"/>
        </w:rPr>
        <w:t>2.3每轮磋商结束，磋商小组对该轮磋商情况进行讨论，综合考虑供应商提供的方案及性价比；</w:t>
      </w:r>
    </w:p>
    <w:p>
      <w:pPr>
        <w:spacing w:line="360" w:lineRule="auto"/>
        <w:ind w:firstLine="360" w:firstLineChars="150"/>
        <w:rPr>
          <w:rFonts w:ascii="宋体" w:hAnsi="宋体"/>
          <w:sz w:val="24"/>
        </w:rPr>
      </w:pPr>
      <w:r>
        <w:rPr>
          <w:rFonts w:hint="eastAsia" w:ascii="宋体" w:hAnsi="宋体"/>
          <w:sz w:val="24"/>
        </w:rPr>
        <w:t>2.4磋商小组应在最后一轮磋商前告知所有供应商是否是最后一次磋商环节。参加本项目的供应商三家以上（含）的，最后一轮的入围供应商应不少于三家[采用竞争性磋商采购方式的政府购买服务项目（含政府和社会资本合作项目），在采购过程中符合要求的供应商（社会资本）只有2家的，竞争性磋商采购活动可以继续进行</w:t>
      </w:r>
      <w:r>
        <w:rPr>
          <w:rFonts w:ascii="宋体" w:hAnsi="宋体"/>
          <w:sz w:val="24"/>
        </w:rPr>
        <w:t>]</w:t>
      </w:r>
      <w:r>
        <w:rPr>
          <w:rFonts w:hint="eastAsia" w:ascii="宋体" w:hAnsi="宋体"/>
          <w:sz w:val="24"/>
        </w:rPr>
        <w:t>；</w:t>
      </w:r>
    </w:p>
    <w:p>
      <w:pPr>
        <w:spacing w:line="360" w:lineRule="auto"/>
        <w:ind w:firstLine="360" w:firstLineChars="150"/>
        <w:rPr>
          <w:rFonts w:ascii="宋体" w:hAnsi="宋体"/>
          <w:sz w:val="24"/>
        </w:rPr>
      </w:pPr>
      <w:r>
        <w:rPr>
          <w:rFonts w:hint="eastAsia" w:ascii="宋体" w:hAnsi="宋体"/>
          <w:sz w:val="24"/>
        </w:rPr>
        <w:t>2.5最后一轮磋商结束后，磋商小组将对进入最后一轮的供应商的技术分进行评定打分；</w:t>
      </w:r>
    </w:p>
    <w:p>
      <w:pPr>
        <w:spacing w:line="360" w:lineRule="auto"/>
        <w:ind w:firstLine="360" w:firstLineChars="150"/>
        <w:rPr>
          <w:rFonts w:ascii="宋体" w:hAnsi="宋体"/>
          <w:sz w:val="24"/>
        </w:rPr>
      </w:pPr>
      <w:r>
        <w:rPr>
          <w:rFonts w:hint="eastAsia" w:ascii="宋体" w:hAnsi="宋体"/>
          <w:sz w:val="24"/>
        </w:rPr>
        <w:t>2.6供应商进行最终商务总报价；</w:t>
      </w:r>
    </w:p>
    <w:p>
      <w:pPr>
        <w:spacing w:line="360" w:lineRule="auto"/>
        <w:ind w:firstLine="360" w:firstLineChars="150"/>
        <w:rPr>
          <w:rFonts w:ascii="宋体" w:hAnsi="宋体"/>
          <w:sz w:val="24"/>
        </w:rPr>
      </w:pPr>
      <w:r>
        <w:rPr>
          <w:rFonts w:hint="eastAsia" w:ascii="宋体" w:hAnsi="宋体"/>
          <w:sz w:val="24"/>
        </w:rPr>
        <w:t>2.7宣布各供应商的评标得分；</w:t>
      </w:r>
    </w:p>
    <w:p>
      <w:pPr>
        <w:spacing w:line="360" w:lineRule="auto"/>
        <w:ind w:firstLine="360" w:firstLineChars="150"/>
        <w:rPr>
          <w:rFonts w:ascii="宋体" w:hAnsi="宋体"/>
          <w:sz w:val="24"/>
        </w:rPr>
      </w:pPr>
      <w:r>
        <w:rPr>
          <w:rFonts w:hint="eastAsia" w:ascii="宋体" w:hAnsi="宋体"/>
          <w:sz w:val="24"/>
        </w:rPr>
        <w:t>2.8公布各供应商最终商务总报价；</w:t>
      </w:r>
    </w:p>
    <w:p>
      <w:pPr>
        <w:spacing w:line="360" w:lineRule="auto"/>
        <w:ind w:firstLine="360" w:firstLineChars="150"/>
        <w:rPr>
          <w:rFonts w:ascii="宋体" w:hAnsi="宋体"/>
          <w:sz w:val="24"/>
        </w:rPr>
      </w:pPr>
      <w:r>
        <w:rPr>
          <w:rFonts w:hint="eastAsia" w:ascii="宋体" w:hAnsi="宋体"/>
          <w:sz w:val="24"/>
        </w:rPr>
        <w:t>2.9磋商小组计算各供应商评标价，按评定原则推荐成交候选人。</w:t>
      </w:r>
    </w:p>
    <w:p>
      <w:pPr>
        <w:spacing w:line="360" w:lineRule="auto"/>
        <w:ind w:firstLine="354" w:firstLineChars="147"/>
        <w:rPr>
          <w:rFonts w:ascii="宋体" w:hAnsi="宋体"/>
          <w:b/>
          <w:sz w:val="24"/>
        </w:rPr>
      </w:pPr>
      <w:r>
        <w:rPr>
          <w:rFonts w:hint="eastAsia" w:ascii="宋体" w:hAnsi="宋体"/>
          <w:b/>
          <w:sz w:val="24"/>
        </w:rPr>
        <w:t>四、磋商注意事项</w:t>
      </w:r>
      <w:bookmarkEnd w:id="173"/>
      <w:bookmarkEnd w:id="174"/>
    </w:p>
    <w:p>
      <w:pPr>
        <w:spacing w:line="360" w:lineRule="auto"/>
        <w:ind w:firstLine="360" w:firstLineChars="150"/>
        <w:rPr>
          <w:rFonts w:ascii="宋体" w:hAnsi="宋体"/>
          <w:sz w:val="24"/>
        </w:rPr>
      </w:pPr>
      <w:r>
        <w:rPr>
          <w:rFonts w:hint="eastAsia" w:ascii="宋体" w:hAnsi="宋体"/>
          <w:sz w:val="24"/>
        </w:rPr>
        <w:t>4.1评审时如发现供应商的报价明显高于其市场报价或低于成本价的，应要求该供应商书面说明并提供相关证明材料。该供应商不能合理说明原因并提供证明材料的，评审小组应将该供应商的采购响应文件作无效标处理。</w:t>
      </w:r>
    </w:p>
    <w:p>
      <w:pPr>
        <w:spacing w:line="360" w:lineRule="auto"/>
        <w:ind w:firstLine="361" w:firstLineChars="150"/>
        <w:rPr>
          <w:rFonts w:ascii="宋体" w:hAnsi="宋体"/>
          <w:b/>
          <w:sz w:val="24"/>
        </w:rPr>
      </w:pPr>
      <w:r>
        <w:rPr>
          <w:rFonts w:hint="eastAsia" w:ascii="宋体" w:hAnsi="宋体"/>
          <w:b/>
          <w:sz w:val="24"/>
        </w:rPr>
        <w:t>五、评标办法</w:t>
      </w:r>
    </w:p>
    <w:p>
      <w:pPr>
        <w:spacing w:line="360" w:lineRule="auto"/>
        <w:ind w:firstLine="360" w:firstLineChars="150"/>
        <w:rPr>
          <w:rFonts w:ascii="宋体" w:hAnsi="宋体"/>
          <w:sz w:val="24"/>
        </w:rPr>
      </w:pPr>
      <w:r>
        <w:rPr>
          <w:rFonts w:hint="eastAsia" w:ascii="宋体" w:hAnsi="宋体"/>
          <w:sz w:val="24"/>
        </w:rPr>
        <w:t>5.1</w:t>
      </w:r>
      <w:r>
        <w:rPr>
          <w:rFonts w:ascii="宋体" w:hAnsi="宋体"/>
          <w:sz w:val="24"/>
        </w:rPr>
        <w:t>初步评审标准</w:t>
      </w:r>
    </w:p>
    <w:p>
      <w:pPr>
        <w:spacing w:line="360" w:lineRule="auto"/>
        <w:ind w:firstLine="360" w:firstLineChars="150"/>
        <w:rPr>
          <w:rFonts w:ascii="宋体" w:hAnsi="宋体"/>
          <w:sz w:val="24"/>
        </w:rPr>
      </w:pPr>
      <w:r>
        <w:rPr>
          <w:rFonts w:hint="eastAsia" w:ascii="宋体" w:hAnsi="宋体"/>
          <w:sz w:val="24"/>
        </w:rPr>
        <w:t>5</w:t>
      </w:r>
      <w:r>
        <w:rPr>
          <w:rFonts w:ascii="宋体" w:hAnsi="宋体"/>
          <w:sz w:val="24"/>
        </w:rPr>
        <w:t>.1.1初步评审分为资格性审查和符合性审查</w:t>
      </w:r>
    </w:p>
    <w:p>
      <w:pPr>
        <w:spacing w:line="360" w:lineRule="auto"/>
        <w:ind w:firstLine="360" w:firstLineChars="150"/>
        <w:rPr>
          <w:rFonts w:ascii="宋体" w:hAnsi="宋体"/>
          <w:sz w:val="24"/>
        </w:rPr>
      </w:pPr>
      <w:r>
        <w:rPr>
          <w:rFonts w:ascii="宋体" w:hAnsi="宋体"/>
          <w:sz w:val="24"/>
        </w:rPr>
        <w:t>5.1.2资格性审查表</w:t>
      </w:r>
      <w:r>
        <w:rPr>
          <w:rFonts w:hint="eastAsia" w:ascii="宋体" w:hAnsi="宋体"/>
          <w:sz w:val="24"/>
        </w:rPr>
        <w:t>（</w:t>
      </w:r>
      <w:r>
        <w:rPr>
          <w:rFonts w:hint="eastAsia" w:hAnsi="宋体"/>
          <w:sz w:val="24"/>
        </w:rPr>
        <w:t>资格性审查不合格的不得进入符合性审查</w:t>
      </w:r>
      <w:r>
        <w:rPr>
          <w:rFonts w:hint="eastAsia" w:ascii="宋体" w:hAnsi="宋体"/>
          <w:sz w:val="24"/>
        </w:rPr>
        <w:t>）</w:t>
      </w:r>
    </w:p>
    <w:p>
      <w:pPr>
        <w:pStyle w:val="2"/>
      </w:pPr>
    </w:p>
    <w:bookmarkEnd w:id="156"/>
    <w:p>
      <w:pPr>
        <w:rPr>
          <w:rFonts w:asciiTheme="minorEastAsia" w:hAnsiTheme="minorEastAsia" w:eastAsiaTheme="minorEastAsia" w:cstheme="minorEastAsia"/>
          <w:b/>
          <w:szCs w:val="21"/>
        </w:rPr>
      </w:pPr>
      <w:bookmarkStart w:id="175" w:name="_Toc477653149"/>
      <w:bookmarkStart w:id="176" w:name="_Toc27313"/>
      <w:r>
        <w:rPr>
          <w:rFonts w:hint="eastAsia" w:asciiTheme="minorEastAsia" w:hAnsiTheme="minorEastAsia" w:eastAsiaTheme="minorEastAsia" w:cstheme="minorEastAsia"/>
          <w:b/>
          <w:szCs w:val="21"/>
        </w:rPr>
        <w:br w:type="page"/>
      </w:r>
    </w:p>
    <w:p>
      <w:pPr>
        <w:spacing w:line="360" w:lineRule="auto"/>
        <w:jc w:val="center"/>
        <w:outlineLvl w:val="1"/>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附表1：资格性检查表</w:t>
      </w:r>
      <w:bookmarkEnd w:id="175"/>
      <w:bookmarkEnd w:id="176"/>
    </w:p>
    <w:tbl>
      <w:tblPr>
        <w:tblStyle w:val="168"/>
        <w:tblW w:w="91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078"/>
        <w:gridCol w:w="2080"/>
        <w:gridCol w:w="4194"/>
        <w:gridCol w:w="10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9" w:hRule="atLeast"/>
        </w:trPr>
        <w:tc>
          <w:tcPr>
            <w:tcW w:w="713" w:type="dxa"/>
          </w:tcPr>
          <w:p>
            <w:pPr>
              <w:spacing w:before="292"/>
              <w:ind w:firstLine="209"/>
              <w:rPr>
                <w:rFonts w:ascii="宋体" w:hAnsi="宋体" w:cs="宋体"/>
                <w:spacing w:val="-6"/>
                <w:sz w:val="24"/>
                <w:szCs w:val="24"/>
              </w:rPr>
            </w:pPr>
            <w:r>
              <w:rPr>
                <w:rFonts w:ascii="宋体" w:hAnsi="宋体" w:cs="宋体"/>
                <w:spacing w:val="-6"/>
                <w:sz w:val="24"/>
                <w:szCs w:val="24"/>
              </w:rPr>
              <w:t>序号</w:t>
            </w:r>
          </w:p>
        </w:tc>
        <w:tc>
          <w:tcPr>
            <w:tcW w:w="3158" w:type="dxa"/>
            <w:gridSpan w:val="2"/>
          </w:tcPr>
          <w:p>
            <w:pPr>
              <w:spacing w:before="292"/>
              <w:ind w:firstLine="209"/>
              <w:rPr>
                <w:rFonts w:ascii="宋体" w:hAnsi="宋体" w:cs="宋体"/>
                <w:spacing w:val="-6"/>
                <w:sz w:val="24"/>
                <w:szCs w:val="24"/>
              </w:rPr>
            </w:pPr>
            <w:r>
              <w:rPr>
                <w:rFonts w:ascii="宋体" w:hAnsi="宋体" w:cs="宋体"/>
                <w:spacing w:val="-6"/>
                <w:sz w:val="24"/>
                <w:szCs w:val="24"/>
              </w:rPr>
              <w:t>审查项目</w:t>
            </w:r>
          </w:p>
        </w:tc>
        <w:tc>
          <w:tcPr>
            <w:tcW w:w="4194" w:type="dxa"/>
          </w:tcPr>
          <w:p>
            <w:pPr>
              <w:spacing w:before="292"/>
              <w:ind w:firstLine="209"/>
              <w:rPr>
                <w:rFonts w:ascii="宋体" w:hAnsi="宋体" w:cs="宋体"/>
                <w:spacing w:val="-6"/>
                <w:sz w:val="24"/>
                <w:szCs w:val="24"/>
              </w:rPr>
            </w:pPr>
            <w:r>
              <w:rPr>
                <w:rFonts w:ascii="宋体" w:hAnsi="宋体" w:cs="宋体"/>
                <w:spacing w:val="-6"/>
                <w:sz w:val="24"/>
                <w:szCs w:val="24"/>
              </w:rPr>
              <w:t>需提供的资料</w:t>
            </w:r>
          </w:p>
        </w:tc>
        <w:tc>
          <w:tcPr>
            <w:tcW w:w="1073" w:type="dxa"/>
          </w:tcPr>
          <w:p>
            <w:pPr>
              <w:spacing w:before="292"/>
              <w:rPr>
                <w:rFonts w:ascii="宋体" w:hAnsi="宋体" w:cs="宋体"/>
                <w:sz w:val="24"/>
                <w:szCs w:val="24"/>
              </w:rPr>
            </w:pPr>
            <w:r>
              <w:rPr>
                <w:rFonts w:ascii="宋体" w:hAnsi="宋体" w:cs="宋体"/>
                <w:spacing w:val="-6"/>
                <w:sz w:val="24"/>
                <w:szCs w:val="24"/>
              </w:rPr>
              <w:t>审查</w:t>
            </w:r>
            <w:r>
              <w:rPr>
                <w:rFonts w:ascii="宋体" w:hAnsi="宋体" w:cs="宋体"/>
                <w:spacing w:val="-4"/>
                <w:sz w:val="24"/>
                <w:szCs w:val="24"/>
              </w:rPr>
              <w:t>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713" w:type="dxa"/>
            <w:vMerge w:val="restart"/>
          </w:tcPr>
          <w:p>
            <w:pPr>
              <w:rPr>
                <w:sz w:val="24"/>
                <w:szCs w:val="24"/>
              </w:rPr>
            </w:pPr>
          </w:p>
          <w:p>
            <w:pPr>
              <w:rPr>
                <w:sz w:val="24"/>
                <w:szCs w:val="24"/>
              </w:rPr>
            </w:pPr>
          </w:p>
          <w:p>
            <w:pPr>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line="241" w:lineRule="auto"/>
              <w:rPr>
                <w:sz w:val="24"/>
                <w:szCs w:val="24"/>
              </w:rPr>
            </w:pPr>
          </w:p>
          <w:p>
            <w:pPr>
              <w:spacing w:before="78" w:line="180" w:lineRule="auto"/>
              <w:ind w:firstLine="358"/>
              <w:rPr>
                <w:rFonts w:ascii="宋体" w:hAnsi="宋体" w:cs="宋体"/>
                <w:sz w:val="24"/>
                <w:szCs w:val="24"/>
              </w:rPr>
            </w:pPr>
            <w:r>
              <w:rPr>
                <w:rFonts w:ascii="宋体" w:hAnsi="宋体" w:cs="宋体"/>
                <w:sz w:val="24"/>
                <w:szCs w:val="24"/>
              </w:rPr>
              <w:t>1</w:t>
            </w:r>
          </w:p>
        </w:tc>
        <w:tc>
          <w:tcPr>
            <w:tcW w:w="1078" w:type="dxa"/>
            <w:vMerge w:val="restart"/>
            <w:vAlign w:val="center"/>
          </w:tcPr>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8"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line="249" w:lineRule="auto"/>
              <w:jc w:val="both"/>
              <w:rPr>
                <w:sz w:val="24"/>
                <w:szCs w:val="24"/>
              </w:rPr>
            </w:pPr>
          </w:p>
          <w:p>
            <w:pPr>
              <w:spacing w:before="78" w:line="239" w:lineRule="auto"/>
              <w:ind w:left="215" w:right="103" w:firstLine="1"/>
              <w:jc w:val="both"/>
              <w:rPr>
                <w:rFonts w:ascii="宋体" w:hAnsi="宋体" w:cs="宋体"/>
                <w:sz w:val="24"/>
                <w:szCs w:val="24"/>
              </w:rPr>
            </w:pPr>
            <w:r>
              <w:rPr>
                <w:rFonts w:ascii="宋体" w:hAnsi="宋体" w:cs="宋体"/>
                <w:spacing w:val="-19"/>
                <w:sz w:val="24"/>
                <w:szCs w:val="24"/>
              </w:rPr>
              <w:t>《中</w:t>
            </w:r>
            <w:r>
              <w:rPr>
                <w:rFonts w:ascii="宋体" w:hAnsi="宋体" w:cs="宋体"/>
                <w:sz w:val="24"/>
                <w:szCs w:val="24"/>
              </w:rPr>
              <w:t xml:space="preserve">   </w:t>
            </w:r>
            <w:r>
              <w:rPr>
                <w:rFonts w:ascii="宋体" w:hAnsi="宋体" w:cs="宋体"/>
                <w:spacing w:val="-5"/>
                <w:sz w:val="24"/>
                <w:szCs w:val="24"/>
              </w:rPr>
              <w:t>华人</w:t>
            </w:r>
            <w:r>
              <w:rPr>
                <w:rFonts w:ascii="宋体" w:hAnsi="宋体" w:cs="宋体"/>
                <w:sz w:val="24"/>
                <w:szCs w:val="24"/>
              </w:rPr>
              <w:t xml:space="preserve">   </w:t>
            </w:r>
            <w:r>
              <w:rPr>
                <w:rFonts w:ascii="宋体" w:hAnsi="宋体" w:cs="宋体"/>
                <w:spacing w:val="-5"/>
                <w:sz w:val="24"/>
                <w:szCs w:val="24"/>
              </w:rPr>
              <w:t>民共</w:t>
            </w:r>
            <w:r>
              <w:rPr>
                <w:rFonts w:ascii="宋体" w:hAnsi="宋体" w:cs="宋体"/>
                <w:sz w:val="24"/>
                <w:szCs w:val="24"/>
              </w:rPr>
              <w:t xml:space="preserve">   </w:t>
            </w:r>
            <w:r>
              <w:rPr>
                <w:rFonts w:ascii="宋体" w:hAnsi="宋体" w:cs="宋体"/>
                <w:spacing w:val="-5"/>
                <w:sz w:val="24"/>
                <w:szCs w:val="24"/>
              </w:rPr>
              <w:t>和国</w:t>
            </w:r>
            <w:r>
              <w:rPr>
                <w:rFonts w:ascii="宋体" w:hAnsi="宋体" w:cs="宋体"/>
                <w:sz w:val="24"/>
                <w:szCs w:val="24"/>
              </w:rPr>
              <w:t xml:space="preserve">   </w:t>
            </w:r>
            <w:r>
              <w:rPr>
                <w:rFonts w:ascii="宋体" w:hAnsi="宋体" w:cs="宋体"/>
                <w:spacing w:val="-5"/>
                <w:sz w:val="24"/>
                <w:szCs w:val="24"/>
              </w:rPr>
              <w:t>政府</w:t>
            </w:r>
            <w:r>
              <w:rPr>
                <w:rFonts w:ascii="宋体" w:hAnsi="宋体" w:cs="宋体"/>
                <w:sz w:val="24"/>
                <w:szCs w:val="24"/>
              </w:rPr>
              <w:t xml:space="preserve">   </w:t>
            </w:r>
            <w:r>
              <w:rPr>
                <w:rFonts w:ascii="宋体" w:hAnsi="宋体" w:cs="宋体"/>
                <w:spacing w:val="-5"/>
                <w:sz w:val="24"/>
                <w:szCs w:val="24"/>
              </w:rPr>
              <w:t>采购</w:t>
            </w:r>
            <w:r>
              <w:rPr>
                <w:rFonts w:ascii="宋体" w:hAnsi="宋体" w:cs="宋体"/>
                <w:sz w:val="24"/>
                <w:szCs w:val="24"/>
              </w:rPr>
              <w:t xml:space="preserve">   </w:t>
            </w:r>
            <w:r>
              <w:rPr>
                <w:rFonts w:ascii="宋体" w:hAnsi="宋体" w:cs="宋体"/>
                <w:spacing w:val="-6"/>
                <w:sz w:val="24"/>
                <w:szCs w:val="24"/>
              </w:rPr>
              <w:t>法》第</w:t>
            </w:r>
            <w:r>
              <w:rPr>
                <w:rFonts w:ascii="宋体" w:hAnsi="宋体" w:cs="宋体"/>
                <w:spacing w:val="1"/>
                <w:sz w:val="24"/>
                <w:szCs w:val="24"/>
              </w:rPr>
              <w:t xml:space="preserve"> </w:t>
            </w:r>
            <w:r>
              <w:rPr>
                <w:rFonts w:ascii="宋体" w:hAnsi="宋体" w:cs="宋体"/>
                <w:spacing w:val="-5"/>
                <w:sz w:val="24"/>
                <w:szCs w:val="24"/>
              </w:rPr>
              <w:t>二十</w:t>
            </w:r>
            <w:r>
              <w:rPr>
                <w:rFonts w:ascii="宋体" w:hAnsi="宋体" w:cs="宋体"/>
                <w:sz w:val="24"/>
                <w:szCs w:val="24"/>
              </w:rPr>
              <w:t xml:space="preserve">   </w:t>
            </w:r>
            <w:r>
              <w:rPr>
                <w:rFonts w:ascii="宋体" w:hAnsi="宋体" w:cs="宋体"/>
                <w:spacing w:val="-5"/>
                <w:sz w:val="24"/>
                <w:szCs w:val="24"/>
              </w:rPr>
              <w:t>二条</w:t>
            </w:r>
            <w:r>
              <w:rPr>
                <w:rFonts w:ascii="宋体" w:hAnsi="宋体" w:cs="宋体"/>
                <w:sz w:val="24"/>
                <w:szCs w:val="24"/>
              </w:rPr>
              <w:t xml:space="preserve">   </w:t>
            </w:r>
            <w:r>
              <w:rPr>
                <w:rFonts w:ascii="宋体" w:hAnsi="宋体" w:cs="宋体"/>
                <w:spacing w:val="-5"/>
                <w:sz w:val="24"/>
                <w:szCs w:val="24"/>
              </w:rPr>
              <w:t>的规</w:t>
            </w:r>
            <w:r>
              <w:rPr>
                <w:rFonts w:ascii="宋体" w:hAnsi="宋体" w:cs="宋体"/>
                <w:sz w:val="24"/>
                <w:szCs w:val="24"/>
              </w:rPr>
              <w:t xml:space="preserve">   定</w:t>
            </w:r>
          </w:p>
        </w:tc>
        <w:tc>
          <w:tcPr>
            <w:tcW w:w="2080" w:type="dxa"/>
            <w:vAlign w:val="center"/>
          </w:tcPr>
          <w:p>
            <w:pPr>
              <w:spacing w:before="291"/>
              <w:ind w:left="276" w:right="150" w:hanging="115"/>
              <w:jc w:val="both"/>
              <w:rPr>
                <w:rFonts w:ascii="宋体" w:hAnsi="宋体" w:cs="宋体"/>
                <w:sz w:val="24"/>
                <w:szCs w:val="24"/>
              </w:rPr>
            </w:pPr>
            <w:r>
              <w:rPr>
                <w:rFonts w:ascii="宋体" w:hAnsi="宋体" w:cs="宋体"/>
                <w:spacing w:val="-3"/>
                <w:sz w:val="24"/>
                <w:szCs w:val="24"/>
              </w:rPr>
              <w:t>具有独立承担民</w:t>
            </w:r>
            <w:r>
              <w:rPr>
                <w:rFonts w:ascii="宋体" w:hAnsi="宋体" w:cs="宋体"/>
                <w:spacing w:val="6"/>
                <w:sz w:val="24"/>
                <w:szCs w:val="24"/>
              </w:rPr>
              <w:t xml:space="preserve"> </w:t>
            </w:r>
            <w:r>
              <w:rPr>
                <w:rFonts w:ascii="宋体" w:hAnsi="宋体" w:cs="宋体"/>
                <w:spacing w:val="-2"/>
                <w:sz w:val="24"/>
                <w:szCs w:val="24"/>
              </w:rPr>
              <w:t>事责任的能力</w:t>
            </w:r>
          </w:p>
        </w:tc>
        <w:tc>
          <w:tcPr>
            <w:tcW w:w="4194" w:type="dxa"/>
            <w:vAlign w:val="center"/>
          </w:tcPr>
          <w:p>
            <w:pPr>
              <w:spacing w:before="291"/>
              <w:ind w:left="114" w:right="117" w:firstLine="7"/>
              <w:jc w:val="both"/>
              <w:rPr>
                <w:rFonts w:ascii="宋体" w:hAnsi="宋体" w:cs="宋体"/>
                <w:sz w:val="24"/>
                <w:szCs w:val="24"/>
              </w:rPr>
            </w:pPr>
            <w:r>
              <w:rPr>
                <w:rFonts w:ascii="宋体" w:hAnsi="宋体" w:cs="宋体"/>
                <w:spacing w:val="-2"/>
                <w:sz w:val="24"/>
                <w:szCs w:val="24"/>
              </w:rPr>
              <w:t>营业执照或事业单位法人证书或个</w:t>
            </w:r>
            <w:r>
              <w:rPr>
                <w:rFonts w:ascii="宋体" w:hAnsi="宋体" w:cs="宋体"/>
                <w:spacing w:val="-1"/>
                <w:sz w:val="24"/>
                <w:szCs w:val="24"/>
              </w:rPr>
              <w:t>体工商户营业执照等证明文件。</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78" w:line="185" w:lineRule="auto"/>
              <w:ind w:firstLine="161"/>
              <w:jc w:val="center"/>
              <w:rPr>
                <w:rFonts w:ascii="宋体" w:hAnsi="宋体" w:cs="宋体"/>
                <w:sz w:val="24"/>
                <w:szCs w:val="24"/>
              </w:rPr>
            </w:pPr>
            <w:r>
              <w:rPr>
                <w:rFonts w:ascii="宋体" w:hAnsi="宋体" w:cs="宋体"/>
                <w:spacing w:val="-2"/>
                <w:sz w:val="24"/>
                <w:szCs w:val="24"/>
              </w:rPr>
              <w:t>具有良好的商业</w:t>
            </w:r>
          </w:p>
          <w:p>
            <w:pPr>
              <w:spacing w:before="71" w:line="185" w:lineRule="auto"/>
              <w:ind w:firstLine="156"/>
              <w:jc w:val="center"/>
              <w:rPr>
                <w:rFonts w:ascii="宋体" w:hAnsi="宋体" w:cs="宋体"/>
                <w:sz w:val="24"/>
                <w:szCs w:val="24"/>
              </w:rPr>
            </w:pPr>
            <w:r>
              <w:rPr>
                <w:rFonts w:ascii="宋体" w:hAnsi="宋体" w:cs="宋体"/>
                <w:spacing w:val="-2"/>
                <w:sz w:val="24"/>
                <w:szCs w:val="24"/>
              </w:rPr>
              <w:t>信誉和健全的财</w:t>
            </w:r>
          </w:p>
          <w:p>
            <w:pPr>
              <w:spacing w:before="71" w:line="185" w:lineRule="auto"/>
              <w:ind w:firstLine="398"/>
              <w:jc w:val="center"/>
              <w:rPr>
                <w:rFonts w:ascii="宋体" w:hAnsi="宋体" w:cs="宋体"/>
                <w:sz w:val="24"/>
                <w:szCs w:val="24"/>
              </w:rPr>
            </w:pPr>
            <w:r>
              <w:rPr>
                <w:rFonts w:ascii="宋体" w:hAnsi="宋体" w:cs="宋体"/>
                <w:spacing w:val="-2"/>
                <w:sz w:val="24"/>
                <w:szCs w:val="24"/>
              </w:rPr>
              <w:t>务会计制度</w:t>
            </w:r>
          </w:p>
        </w:tc>
        <w:tc>
          <w:tcPr>
            <w:tcW w:w="4194" w:type="dxa"/>
            <w:vAlign w:val="center"/>
          </w:tcPr>
          <w:p>
            <w:pPr>
              <w:spacing w:before="28" w:line="236" w:lineRule="auto"/>
              <w:ind w:left="131" w:right="19"/>
              <w:jc w:val="left"/>
              <w:rPr>
                <w:rFonts w:ascii="宋体" w:hAnsi="宋体" w:cs="宋体"/>
                <w:spacing w:val="-1"/>
                <w:sz w:val="24"/>
                <w:szCs w:val="24"/>
              </w:rPr>
            </w:pPr>
            <w:r>
              <w:rPr>
                <w:rFonts w:hint="eastAsia" w:ascii="宋体" w:hAnsi="宋体" w:cs="宋体"/>
                <w:spacing w:val="-1"/>
                <w:sz w:val="24"/>
                <w:szCs w:val="24"/>
                <w:lang w:val="en-US" w:eastAsia="zh-CN"/>
              </w:rPr>
              <w:t>1.</w:t>
            </w:r>
            <w:r>
              <w:rPr>
                <w:rFonts w:ascii="宋体" w:hAnsi="宋体" w:cs="宋体"/>
                <w:spacing w:val="-1"/>
                <w:sz w:val="24"/>
                <w:szCs w:val="24"/>
              </w:rPr>
              <w:t>投标截止时间前</w:t>
            </w:r>
            <w:r>
              <w:rPr>
                <w:rFonts w:hint="eastAsia" w:ascii="宋体" w:hAnsi="宋体" w:cs="宋体"/>
                <w:spacing w:val="-1"/>
                <w:sz w:val="24"/>
                <w:szCs w:val="24"/>
              </w:rPr>
              <w:t>成立年限满1年及以上的供应商，提供经审计的20</w:t>
            </w:r>
            <w:r>
              <w:rPr>
                <w:rFonts w:hint="eastAsia" w:ascii="宋体" w:hAnsi="宋体" w:cs="宋体"/>
                <w:spacing w:val="-1"/>
                <w:sz w:val="24"/>
                <w:szCs w:val="24"/>
                <w:lang w:val="en-US" w:eastAsia="zh-CN"/>
              </w:rPr>
              <w:t>20</w:t>
            </w:r>
            <w:r>
              <w:rPr>
                <w:rFonts w:hint="eastAsia" w:ascii="宋体" w:hAnsi="宋体" w:cs="宋体"/>
                <w:spacing w:val="-1"/>
                <w:sz w:val="24"/>
                <w:szCs w:val="24"/>
              </w:rPr>
              <w:t>年度或20</w:t>
            </w:r>
            <w:r>
              <w:rPr>
                <w:rFonts w:hint="eastAsia" w:ascii="宋体" w:hAnsi="宋体" w:cs="宋体"/>
                <w:spacing w:val="-1"/>
                <w:sz w:val="24"/>
                <w:szCs w:val="24"/>
                <w:lang w:val="en-US" w:eastAsia="zh-CN"/>
              </w:rPr>
              <w:t>21</w:t>
            </w:r>
            <w:r>
              <w:rPr>
                <w:rFonts w:hint="eastAsia" w:ascii="宋体" w:hAnsi="宋体" w:cs="宋体"/>
                <w:spacing w:val="-1"/>
                <w:sz w:val="24"/>
                <w:szCs w:val="24"/>
              </w:rPr>
              <w:t>年度或202</w:t>
            </w:r>
            <w:r>
              <w:rPr>
                <w:rFonts w:hint="eastAsia" w:ascii="宋体" w:hAnsi="宋体" w:cs="宋体"/>
                <w:spacing w:val="-1"/>
                <w:sz w:val="24"/>
                <w:szCs w:val="24"/>
                <w:lang w:val="en-US" w:eastAsia="zh-CN"/>
              </w:rPr>
              <w:t>2</w:t>
            </w:r>
            <w:r>
              <w:rPr>
                <w:rFonts w:hint="eastAsia" w:ascii="宋体" w:hAnsi="宋体" w:cs="宋体"/>
                <w:spacing w:val="-1"/>
                <w:sz w:val="24"/>
                <w:szCs w:val="24"/>
              </w:rPr>
              <w:t>年度的年度财务报告。</w:t>
            </w:r>
            <w:r>
              <w:rPr>
                <w:rFonts w:ascii="宋体" w:hAnsi="宋体" w:cs="宋体"/>
                <w:spacing w:val="-1"/>
                <w:sz w:val="24"/>
                <w:szCs w:val="24"/>
              </w:rPr>
              <w:t xml:space="preserve">  </w:t>
            </w:r>
          </w:p>
          <w:p>
            <w:pPr>
              <w:spacing w:before="28" w:line="236" w:lineRule="auto"/>
              <w:ind w:left="131" w:right="19"/>
              <w:jc w:val="left"/>
              <w:rPr>
                <w:rFonts w:ascii="宋体" w:hAnsi="宋体" w:cs="宋体"/>
                <w:sz w:val="24"/>
                <w:szCs w:val="24"/>
              </w:rPr>
            </w:pPr>
            <w:r>
              <w:rPr>
                <w:rFonts w:ascii="宋体" w:hAnsi="宋体" w:cs="宋体"/>
                <w:spacing w:val="-1"/>
                <w:sz w:val="24"/>
                <w:szCs w:val="24"/>
              </w:rPr>
              <w:t>2.投标截止时间前成立不足三年的，提交自成立以来的财务审计报告。                            3.投标截止时间前成立不足一年的，提交验资报告或银行资金存款证明。                          4.财政部门认可的政府采购专业担保机构出具的投标担保函。</w:t>
            </w:r>
            <w:r>
              <w:rPr>
                <w:rFonts w:ascii="宋体" w:hAnsi="宋体" w:cs="宋体"/>
                <w:sz w:val="24"/>
                <w:szCs w:val="24"/>
              </w:rPr>
              <w:t xml:space="preserve">        </w:t>
            </w:r>
          </w:p>
          <w:p>
            <w:pPr>
              <w:spacing w:before="28" w:line="236" w:lineRule="auto"/>
              <w:ind w:left="131" w:right="19"/>
              <w:jc w:val="left"/>
              <w:rPr>
                <w:rFonts w:ascii="宋体" w:hAnsi="宋体" w:cs="宋体"/>
                <w:sz w:val="24"/>
                <w:szCs w:val="24"/>
              </w:rPr>
            </w:pPr>
            <w:r>
              <w:rPr>
                <w:rFonts w:ascii="宋体" w:hAnsi="宋体" w:cs="宋体"/>
                <w:spacing w:val="-1"/>
                <w:sz w:val="24"/>
                <w:szCs w:val="24"/>
              </w:rPr>
              <w:t>5.</w:t>
            </w:r>
            <w:r>
              <w:rPr>
                <w:rFonts w:hint="eastAsia" w:ascii="宋体" w:hAnsi="宋体" w:cs="宋体"/>
                <w:spacing w:val="-1"/>
                <w:sz w:val="24"/>
                <w:szCs w:val="24"/>
                <w:lang w:eastAsia="zh-CN"/>
              </w:rPr>
              <w:t>供应商</w:t>
            </w:r>
            <w:r>
              <w:rPr>
                <w:rFonts w:ascii="宋体" w:hAnsi="宋体" w:cs="宋体"/>
                <w:spacing w:val="-1"/>
                <w:sz w:val="24"/>
                <w:szCs w:val="24"/>
              </w:rPr>
              <w:t>也可</w:t>
            </w:r>
            <w:r>
              <w:rPr>
                <w:rFonts w:ascii="宋体" w:hAnsi="宋体" w:cs="宋体"/>
                <w:spacing w:val="-4"/>
                <w:sz w:val="24"/>
                <w:szCs w:val="24"/>
              </w:rPr>
              <w:t>根据自</w:t>
            </w:r>
            <w:r>
              <w:rPr>
                <w:rFonts w:ascii="宋体" w:hAnsi="宋体" w:cs="宋体"/>
                <w:spacing w:val="-1"/>
                <w:sz w:val="24"/>
                <w:szCs w:val="24"/>
              </w:rPr>
              <w:t>身实际情况进行承诺满足本条要</w:t>
            </w:r>
            <w:r>
              <w:rPr>
                <w:rFonts w:ascii="宋体" w:hAnsi="宋体" w:cs="宋体"/>
                <w:spacing w:val="-11"/>
                <w:sz w:val="24"/>
                <w:szCs w:val="24"/>
              </w:rPr>
              <w:t>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line="246" w:lineRule="auto"/>
              <w:jc w:val="center"/>
              <w:rPr>
                <w:sz w:val="24"/>
                <w:szCs w:val="24"/>
              </w:rPr>
            </w:pPr>
          </w:p>
          <w:p>
            <w:pPr>
              <w:spacing w:line="246"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line="247" w:lineRule="auto"/>
              <w:jc w:val="center"/>
              <w:rPr>
                <w:sz w:val="24"/>
                <w:szCs w:val="24"/>
              </w:rPr>
            </w:pPr>
          </w:p>
          <w:p>
            <w:pPr>
              <w:spacing w:before="78" w:line="185" w:lineRule="auto"/>
              <w:ind w:firstLine="157"/>
              <w:jc w:val="center"/>
              <w:rPr>
                <w:rFonts w:ascii="宋体" w:hAnsi="宋体" w:cs="宋体"/>
                <w:sz w:val="24"/>
                <w:szCs w:val="24"/>
              </w:rPr>
            </w:pPr>
            <w:r>
              <w:rPr>
                <w:rFonts w:ascii="宋体" w:hAnsi="宋体" w:cs="宋体"/>
                <w:spacing w:val="-2"/>
                <w:sz w:val="24"/>
                <w:szCs w:val="24"/>
              </w:rPr>
              <w:t>有依法缴纳税收</w:t>
            </w:r>
          </w:p>
          <w:p>
            <w:pPr>
              <w:spacing w:before="71" w:line="185" w:lineRule="auto"/>
              <w:ind w:firstLine="157"/>
              <w:jc w:val="center"/>
              <w:rPr>
                <w:rFonts w:ascii="宋体" w:hAnsi="宋体" w:cs="宋体"/>
                <w:sz w:val="24"/>
                <w:szCs w:val="24"/>
              </w:rPr>
            </w:pPr>
            <w:r>
              <w:rPr>
                <w:rFonts w:ascii="宋体" w:hAnsi="宋体" w:cs="宋体"/>
                <w:spacing w:val="-2"/>
                <w:sz w:val="24"/>
                <w:szCs w:val="24"/>
              </w:rPr>
              <w:t>和社会保障资金</w:t>
            </w:r>
          </w:p>
          <w:p>
            <w:pPr>
              <w:spacing w:before="67" w:line="185" w:lineRule="auto"/>
              <w:ind w:firstLine="416"/>
              <w:jc w:val="center"/>
              <w:rPr>
                <w:rFonts w:ascii="宋体" w:hAnsi="宋体" w:cs="宋体"/>
                <w:sz w:val="24"/>
                <w:szCs w:val="24"/>
              </w:rPr>
            </w:pPr>
            <w:r>
              <w:rPr>
                <w:rFonts w:ascii="宋体" w:hAnsi="宋体" w:cs="宋体"/>
                <w:spacing w:val="-5"/>
                <w:sz w:val="24"/>
                <w:szCs w:val="24"/>
              </w:rPr>
              <w:t>的良好记录</w:t>
            </w:r>
          </w:p>
        </w:tc>
        <w:tc>
          <w:tcPr>
            <w:tcW w:w="4194" w:type="dxa"/>
            <w:vAlign w:val="center"/>
          </w:tcPr>
          <w:p>
            <w:pPr>
              <w:spacing w:before="40" w:line="239" w:lineRule="auto"/>
              <w:ind w:left="112" w:right="75" w:firstLine="19"/>
              <w:jc w:val="both"/>
              <w:rPr>
                <w:rFonts w:ascii="宋体" w:hAnsi="宋体" w:cs="宋体"/>
                <w:sz w:val="24"/>
                <w:szCs w:val="24"/>
              </w:rPr>
            </w:pPr>
            <w:r>
              <w:rPr>
                <w:rFonts w:ascii="宋体" w:hAnsi="宋体" w:cs="宋体"/>
                <w:spacing w:val="-10"/>
                <w:sz w:val="24"/>
                <w:szCs w:val="24"/>
              </w:rPr>
              <w:t>1.本项目投标截止时间前12个月内（至少提供1个月）交纳增值税（完税证、缴款书、印花税票、银行代扣（代缴）转账凭证等均可）</w:t>
            </w:r>
          </w:p>
          <w:p>
            <w:pPr>
              <w:spacing w:line="222" w:lineRule="auto"/>
              <w:ind w:left="113" w:right="116"/>
              <w:jc w:val="both"/>
              <w:rPr>
                <w:rFonts w:ascii="宋体" w:hAnsi="宋体" w:cs="宋体"/>
                <w:sz w:val="24"/>
                <w:szCs w:val="24"/>
              </w:rPr>
            </w:pPr>
            <w:r>
              <w:rPr>
                <w:rFonts w:ascii="宋体" w:hAnsi="宋体" w:cs="宋体"/>
                <w:spacing w:val="-1"/>
                <w:sz w:val="24"/>
                <w:szCs w:val="24"/>
              </w:rPr>
              <w:t>供应商为其他组织或自然人的，也需要按此项规定提供交纳税收的凭</w:t>
            </w:r>
            <w:r>
              <w:rPr>
                <w:rFonts w:ascii="宋体" w:hAnsi="宋体" w:cs="宋体"/>
                <w:spacing w:val="-17"/>
                <w:sz w:val="24"/>
                <w:szCs w:val="24"/>
              </w:rPr>
              <w:t>据；</w:t>
            </w:r>
          </w:p>
          <w:p>
            <w:pPr>
              <w:spacing w:before="71" w:line="237" w:lineRule="auto"/>
              <w:ind w:left="114" w:right="105" w:firstLine="1"/>
              <w:jc w:val="both"/>
              <w:rPr>
                <w:rFonts w:ascii="宋体" w:hAnsi="宋体" w:cs="宋体"/>
                <w:sz w:val="24"/>
                <w:szCs w:val="24"/>
              </w:rPr>
            </w:pPr>
            <w:r>
              <w:rPr>
                <w:rFonts w:ascii="宋体" w:hAnsi="宋体" w:cs="宋体"/>
                <w:spacing w:val="-12"/>
                <w:sz w:val="24"/>
                <w:szCs w:val="24"/>
              </w:rPr>
              <w:t>依法免交增值税的供应商，应提供</w:t>
            </w:r>
            <w:r>
              <w:rPr>
                <w:rFonts w:ascii="宋体" w:hAnsi="宋体" w:cs="宋体"/>
                <w:spacing w:val="-3"/>
                <w:sz w:val="24"/>
                <w:szCs w:val="24"/>
              </w:rPr>
              <w:t>相应依法免税的证明。</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2.</w:t>
            </w:r>
            <w:r>
              <w:rPr>
                <w:rFonts w:ascii="宋体" w:hAnsi="宋体" w:cs="宋体"/>
                <w:spacing w:val="-1"/>
                <w:sz w:val="24"/>
                <w:szCs w:val="24"/>
              </w:rPr>
              <w:t>本项目投标截止时间前12个月内（至少提供1个月）交纳企业所得税的凭据（完税证、缴款书、印花税票、银行代扣（代缴）转账凭证等均可）</w:t>
            </w:r>
            <w:r>
              <w:rPr>
                <w:rFonts w:ascii="宋体" w:hAnsi="宋体" w:cs="宋体"/>
                <w:spacing w:val="-9"/>
                <w:sz w:val="24"/>
                <w:szCs w:val="24"/>
              </w:rPr>
              <w:t>供应商为其他组织或自然人的，也需要按此项规定提供交纳税收的凭据；</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依法免交企业所得税的供应商，应提供相应依法免税的证明。</w:t>
            </w:r>
          </w:p>
          <w:p>
            <w:pPr>
              <w:spacing w:before="6" w:line="239" w:lineRule="auto"/>
              <w:ind w:left="113" w:right="108" w:firstLine="3"/>
              <w:jc w:val="both"/>
              <w:rPr>
                <w:rFonts w:ascii="宋体" w:hAnsi="宋体" w:cs="宋体"/>
                <w:spacing w:val="-9"/>
                <w:sz w:val="24"/>
                <w:szCs w:val="24"/>
              </w:rPr>
            </w:pPr>
            <w:r>
              <w:rPr>
                <w:rFonts w:ascii="宋体" w:hAnsi="宋体" w:cs="宋体"/>
                <w:spacing w:val="-9"/>
                <w:sz w:val="24"/>
                <w:szCs w:val="24"/>
              </w:rPr>
              <w:t>3.本项目投标截止时间前12个月内（至少提供 1 个月）交纳社会保险的凭据（专用收据或社会保险交纳清单或银行代扣（代缴）转账凭证）；供应商为其他组织或自然人的，也需要按此项规定提供交纳社会保险的凭据；</w:t>
            </w:r>
          </w:p>
          <w:p>
            <w:pPr>
              <w:spacing w:before="6" w:line="239" w:lineRule="auto"/>
              <w:ind w:left="113" w:right="108" w:firstLine="3"/>
              <w:jc w:val="both"/>
              <w:rPr>
                <w:rFonts w:ascii="宋体" w:hAnsi="宋体" w:cs="宋体"/>
                <w:spacing w:val="-9"/>
                <w:sz w:val="24"/>
                <w:szCs w:val="24"/>
              </w:rPr>
            </w:pPr>
            <w:r>
              <w:rPr>
                <w:rFonts w:hint="eastAsia" w:ascii="宋体" w:hAnsi="宋体" w:cs="宋体"/>
                <w:spacing w:val="-9"/>
                <w:sz w:val="24"/>
                <w:szCs w:val="24"/>
                <w:lang w:val="en-US" w:eastAsia="zh-CN"/>
              </w:rPr>
              <w:t>4.</w:t>
            </w:r>
            <w:r>
              <w:rPr>
                <w:rFonts w:ascii="宋体" w:hAnsi="宋体" w:cs="宋体"/>
                <w:spacing w:val="-9"/>
                <w:sz w:val="24"/>
                <w:szCs w:val="24"/>
              </w:rPr>
              <w:t>不需要交纳社会保障资金的供应商，应提供依法不需要交纳社会保障资金的证明。</w:t>
            </w:r>
          </w:p>
          <w:p>
            <w:pPr>
              <w:spacing w:before="6" w:line="239" w:lineRule="auto"/>
              <w:ind w:left="113" w:right="108" w:firstLine="3"/>
              <w:jc w:val="both"/>
              <w:rPr>
                <w:rFonts w:ascii="宋体" w:hAnsi="宋体" w:cs="宋体"/>
                <w:sz w:val="24"/>
                <w:szCs w:val="24"/>
              </w:rPr>
            </w:pPr>
            <w:r>
              <w:rPr>
                <w:rFonts w:ascii="宋体" w:hAnsi="宋体" w:cs="宋体"/>
                <w:spacing w:val="-9"/>
                <w:sz w:val="24"/>
                <w:szCs w:val="24"/>
              </w:rPr>
              <w:t>5.</w:t>
            </w:r>
            <w:r>
              <w:rPr>
                <w:rFonts w:hint="eastAsia" w:ascii="宋体" w:hAnsi="宋体" w:cs="宋体"/>
                <w:spacing w:val="-9"/>
                <w:sz w:val="24"/>
                <w:szCs w:val="24"/>
                <w:lang w:eastAsia="zh-CN"/>
              </w:rPr>
              <w:t>供应商</w:t>
            </w:r>
            <w:r>
              <w:rPr>
                <w:rFonts w:ascii="宋体" w:hAnsi="宋体" w:cs="宋体"/>
                <w:spacing w:val="-9"/>
                <w:sz w:val="24"/>
                <w:szCs w:val="24"/>
              </w:rPr>
              <w:t>也可根据自身实际情况进行承诺满足本条要求。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37" w:line="185" w:lineRule="auto"/>
              <w:ind w:firstLine="161"/>
              <w:jc w:val="center"/>
              <w:rPr>
                <w:rFonts w:ascii="宋体" w:hAnsi="宋体" w:cs="宋体"/>
                <w:sz w:val="24"/>
                <w:szCs w:val="24"/>
              </w:rPr>
            </w:pPr>
            <w:r>
              <w:rPr>
                <w:rFonts w:ascii="宋体" w:hAnsi="宋体" w:cs="宋体"/>
                <w:spacing w:val="-2"/>
                <w:sz w:val="24"/>
                <w:szCs w:val="24"/>
              </w:rPr>
              <w:t>具备履行合同所</w:t>
            </w:r>
          </w:p>
          <w:p>
            <w:pPr>
              <w:spacing w:before="71" w:line="185" w:lineRule="auto"/>
              <w:ind w:firstLine="160"/>
              <w:jc w:val="center"/>
              <w:rPr>
                <w:rFonts w:ascii="宋体" w:hAnsi="宋体" w:cs="宋体"/>
                <w:sz w:val="24"/>
                <w:szCs w:val="24"/>
              </w:rPr>
            </w:pPr>
            <w:r>
              <w:rPr>
                <w:rFonts w:ascii="宋体" w:hAnsi="宋体" w:cs="宋体"/>
                <w:spacing w:val="-2"/>
                <w:sz w:val="24"/>
                <w:szCs w:val="24"/>
              </w:rPr>
              <w:t>必须的设备和专</w:t>
            </w:r>
          </w:p>
          <w:p>
            <w:pPr>
              <w:spacing w:before="71" w:line="185" w:lineRule="auto"/>
              <w:ind w:firstLine="395"/>
              <w:jc w:val="center"/>
              <w:rPr>
                <w:rFonts w:ascii="宋体" w:hAnsi="宋体" w:cs="宋体"/>
                <w:spacing w:val="-5"/>
                <w:sz w:val="24"/>
                <w:szCs w:val="24"/>
              </w:rPr>
            </w:pPr>
            <w:r>
              <w:rPr>
                <w:rFonts w:ascii="宋体" w:hAnsi="宋体" w:cs="宋体"/>
                <w:spacing w:val="-2"/>
                <w:sz w:val="24"/>
                <w:szCs w:val="24"/>
              </w:rPr>
              <w:t>业技术能力</w:t>
            </w:r>
          </w:p>
        </w:tc>
        <w:tc>
          <w:tcPr>
            <w:tcW w:w="4194" w:type="dxa"/>
            <w:vAlign w:val="center"/>
          </w:tcPr>
          <w:p>
            <w:pPr>
              <w:spacing w:before="38"/>
              <w:ind w:left="114" w:right="109"/>
              <w:jc w:val="both"/>
              <w:rPr>
                <w:rFonts w:ascii="宋体" w:hAnsi="宋体" w:cs="宋体"/>
                <w:spacing w:val="-1"/>
                <w:sz w:val="24"/>
                <w:szCs w:val="24"/>
              </w:rPr>
            </w:pPr>
            <w:r>
              <w:rPr>
                <w:rFonts w:ascii="宋体" w:hAnsi="宋体" w:cs="宋体"/>
                <w:spacing w:val="-1"/>
                <w:sz w:val="24"/>
                <w:szCs w:val="24"/>
              </w:rPr>
              <w:t>供应商</w:t>
            </w:r>
            <w:r>
              <w:rPr>
                <w:rFonts w:hint="eastAsia" w:ascii="宋体" w:hAnsi="宋体" w:cs="宋体"/>
                <w:spacing w:val="-1"/>
                <w:sz w:val="24"/>
                <w:szCs w:val="24"/>
                <w:lang w:eastAsia="zh-CN"/>
              </w:rPr>
              <w:t>自行提供材料或</w:t>
            </w:r>
            <w:r>
              <w:rPr>
                <w:rFonts w:ascii="宋体" w:hAnsi="宋体" w:cs="宋体"/>
                <w:spacing w:val="-1"/>
                <w:sz w:val="24"/>
                <w:szCs w:val="24"/>
              </w:rPr>
              <w:t>根据自身实际</w:t>
            </w:r>
            <w:r>
              <w:rPr>
                <w:rFonts w:ascii="宋体" w:hAnsi="宋体" w:cs="宋体"/>
                <w:spacing w:val="12"/>
                <w:sz w:val="24"/>
                <w:szCs w:val="24"/>
              </w:rPr>
              <w:t xml:space="preserve"> </w:t>
            </w:r>
            <w:r>
              <w:rPr>
                <w:rFonts w:ascii="宋体" w:hAnsi="宋体" w:cs="宋体"/>
                <w:spacing w:val="-4"/>
                <w:sz w:val="24"/>
                <w:szCs w:val="24"/>
              </w:rPr>
              <w:t>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1"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39" w:line="185" w:lineRule="auto"/>
              <w:ind w:firstLine="158"/>
              <w:jc w:val="center"/>
              <w:rPr>
                <w:rFonts w:ascii="宋体" w:hAnsi="宋体" w:cs="宋体"/>
                <w:sz w:val="24"/>
                <w:szCs w:val="24"/>
              </w:rPr>
            </w:pPr>
            <w:r>
              <w:rPr>
                <w:rFonts w:ascii="宋体" w:hAnsi="宋体" w:cs="宋体"/>
                <w:spacing w:val="-2"/>
                <w:sz w:val="24"/>
                <w:szCs w:val="24"/>
              </w:rPr>
              <w:t>参加政府采购活</w:t>
            </w:r>
          </w:p>
          <w:p>
            <w:pPr>
              <w:spacing w:before="71" w:line="185" w:lineRule="auto"/>
              <w:ind w:firstLine="157"/>
              <w:jc w:val="center"/>
              <w:rPr>
                <w:rFonts w:ascii="宋体" w:hAnsi="宋体" w:cs="宋体"/>
                <w:sz w:val="24"/>
                <w:szCs w:val="24"/>
              </w:rPr>
            </w:pPr>
            <w:r>
              <w:rPr>
                <w:rFonts w:ascii="宋体" w:hAnsi="宋体" w:cs="宋体"/>
                <w:spacing w:val="-2"/>
                <w:sz w:val="24"/>
                <w:szCs w:val="24"/>
              </w:rPr>
              <w:t>动前三年内，在</w:t>
            </w:r>
          </w:p>
          <w:p>
            <w:pPr>
              <w:spacing w:before="71" w:line="185" w:lineRule="auto"/>
              <w:ind w:firstLine="158"/>
              <w:jc w:val="center"/>
              <w:rPr>
                <w:rFonts w:ascii="宋体" w:hAnsi="宋体" w:cs="宋体"/>
                <w:sz w:val="24"/>
                <w:szCs w:val="24"/>
              </w:rPr>
            </w:pPr>
            <w:r>
              <w:rPr>
                <w:rFonts w:ascii="宋体" w:hAnsi="宋体" w:cs="宋体"/>
                <w:spacing w:val="-2"/>
                <w:sz w:val="24"/>
                <w:szCs w:val="24"/>
              </w:rPr>
              <w:t>经营活动中没有</w:t>
            </w:r>
          </w:p>
          <w:p>
            <w:pPr>
              <w:spacing w:before="67" w:line="185" w:lineRule="auto"/>
              <w:ind w:firstLine="277"/>
              <w:jc w:val="center"/>
              <w:rPr>
                <w:rFonts w:ascii="宋体" w:hAnsi="宋体" w:cs="宋体"/>
                <w:spacing w:val="-5"/>
                <w:sz w:val="24"/>
                <w:szCs w:val="24"/>
              </w:rPr>
            </w:pPr>
            <w:r>
              <w:rPr>
                <w:rFonts w:ascii="宋体" w:hAnsi="宋体" w:cs="宋体"/>
                <w:spacing w:val="-2"/>
                <w:sz w:val="24"/>
                <w:szCs w:val="24"/>
              </w:rPr>
              <w:t>重大违法记录</w:t>
            </w:r>
          </w:p>
        </w:tc>
        <w:tc>
          <w:tcPr>
            <w:tcW w:w="4194" w:type="dxa"/>
            <w:vAlign w:val="center"/>
          </w:tcPr>
          <w:p>
            <w:pPr>
              <w:spacing w:before="41" w:line="225" w:lineRule="auto"/>
              <w:ind w:left="115" w:right="355"/>
              <w:jc w:val="both"/>
              <w:rPr>
                <w:rFonts w:ascii="宋体" w:hAnsi="宋体" w:cs="宋体"/>
                <w:spacing w:val="-1"/>
                <w:sz w:val="24"/>
                <w:szCs w:val="24"/>
              </w:rPr>
            </w:pPr>
            <w:r>
              <w:rPr>
                <w:rFonts w:ascii="宋体" w:hAnsi="宋体" w:cs="宋体"/>
                <w:spacing w:val="-1"/>
                <w:sz w:val="24"/>
                <w:szCs w:val="24"/>
              </w:rPr>
              <w:t>参加政府采购活动前三年内在经营活动中没有重大违法记录的书面声明</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713" w:type="dxa"/>
            <w:vMerge w:val="continue"/>
          </w:tcPr>
          <w:p>
            <w:pPr>
              <w:rPr>
                <w:sz w:val="24"/>
                <w:szCs w:val="24"/>
              </w:rPr>
            </w:pPr>
          </w:p>
        </w:tc>
        <w:tc>
          <w:tcPr>
            <w:tcW w:w="1078" w:type="dxa"/>
            <w:vMerge w:val="continue"/>
            <w:vAlign w:val="center"/>
          </w:tcPr>
          <w:p>
            <w:pPr>
              <w:jc w:val="center"/>
              <w:rPr>
                <w:sz w:val="24"/>
                <w:szCs w:val="24"/>
              </w:rPr>
            </w:pPr>
          </w:p>
        </w:tc>
        <w:tc>
          <w:tcPr>
            <w:tcW w:w="2080" w:type="dxa"/>
            <w:vAlign w:val="center"/>
          </w:tcPr>
          <w:p>
            <w:pPr>
              <w:spacing w:before="295" w:line="237" w:lineRule="auto"/>
              <w:ind w:left="157" w:right="149"/>
              <w:jc w:val="center"/>
              <w:rPr>
                <w:rFonts w:ascii="宋体" w:hAnsi="宋体" w:cs="宋体"/>
                <w:spacing w:val="-5"/>
                <w:sz w:val="24"/>
                <w:szCs w:val="24"/>
              </w:rPr>
            </w:pPr>
            <w:r>
              <w:rPr>
                <w:rFonts w:ascii="宋体" w:hAnsi="宋体" w:cs="宋体"/>
                <w:spacing w:val="-2"/>
                <w:sz w:val="24"/>
                <w:szCs w:val="24"/>
              </w:rPr>
              <w:t>法律、行政法规规定的其他条件</w:t>
            </w:r>
          </w:p>
        </w:tc>
        <w:tc>
          <w:tcPr>
            <w:tcW w:w="4194" w:type="dxa"/>
            <w:vAlign w:val="center"/>
          </w:tcPr>
          <w:p>
            <w:pPr>
              <w:spacing w:before="141" w:line="238" w:lineRule="auto"/>
              <w:ind w:left="115" w:right="117" w:firstLine="1"/>
              <w:jc w:val="both"/>
              <w:rPr>
                <w:rFonts w:ascii="宋体" w:hAnsi="宋体" w:cs="宋体"/>
                <w:spacing w:val="-1"/>
                <w:sz w:val="24"/>
                <w:szCs w:val="24"/>
              </w:rPr>
            </w:pPr>
            <w:r>
              <w:rPr>
                <w:rFonts w:ascii="宋体" w:hAnsi="宋体" w:cs="宋体"/>
                <w:spacing w:val="-1"/>
                <w:sz w:val="24"/>
                <w:szCs w:val="24"/>
              </w:rPr>
              <w:t>供应商</w:t>
            </w:r>
            <w:r>
              <w:rPr>
                <w:rFonts w:hint="eastAsia" w:ascii="宋体" w:hAnsi="宋体" w:cs="宋体"/>
                <w:spacing w:val="-1"/>
                <w:sz w:val="24"/>
                <w:szCs w:val="24"/>
                <w:lang w:eastAsia="zh-CN"/>
              </w:rPr>
              <w:t>自行提供材料或</w:t>
            </w:r>
            <w:r>
              <w:rPr>
                <w:rFonts w:ascii="宋体" w:hAnsi="宋体" w:cs="宋体"/>
                <w:spacing w:val="-1"/>
                <w:sz w:val="24"/>
                <w:szCs w:val="24"/>
              </w:rPr>
              <w:t>根据自身实际</w:t>
            </w:r>
            <w:r>
              <w:rPr>
                <w:rFonts w:ascii="宋体" w:hAnsi="宋体" w:cs="宋体"/>
                <w:spacing w:val="-4"/>
                <w:sz w:val="24"/>
                <w:szCs w:val="24"/>
              </w:rPr>
              <w:t>情况进行承诺满足本条要求。</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trPr>
        <w:tc>
          <w:tcPr>
            <w:tcW w:w="713" w:type="dxa"/>
          </w:tcPr>
          <w:p>
            <w:pPr>
              <w:spacing w:line="411" w:lineRule="auto"/>
              <w:rPr>
                <w:sz w:val="24"/>
                <w:szCs w:val="24"/>
              </w:rPr>
            </w:pPr>
          </w:p>
          <w:p>
            <w:pPr>
              <w:spacing w:before="78" w:line="180" w:lineRule="auto"/>
              <w:ind w:firstLine="293"/>
              <w:rPr>
                <w:sz w:val="24"/>
                <w:szCs w:val="24"/>
              </w:rPr>
            </w:pPr>
            <w:r>
              <w:rPr>
                <w:rFonts w:ascii="宋体" w:hAnsi="宋体" w:cs="宋体"/>
                <w:sz w:val="24"/>
                <w:szCs w:val="24"/>
              </w:rPr>
              <w:t>5</w:t>
            </w:r>
          </w:p>
        </w:tc>
        <w:tc>
          <w:tcPr>
            <w:tcW w:w="3158" w:type="dxa"/>
            <w:gridSpan w:val="2"/>
            <w:vAlign w:val="center"/>
          </w:tcPr>
          <w:p>
            <w:pPr>
              <w:spacing w:before="139" w:line="238" w:lineRule="auto"/>
              <w:ind w:left="131" w:right="107" w:hanging="17"/>
              <w:jc w:val="center"/>
              <w:rPr>
                <w:rFonts w:ascii="宋体" w:hAnsi="宋体" w:cs="宋体"/>
                <w:spacing w:val="-5"/>
                <w:sz w:val="24"/>
                <w:szCs w:val="24"/>
              </w:rPr>
            </w:pPr>
            <w:r>
              <w:rPr>
                <w:rFonts w:ascii="宋体" w:hAnsi="宋体" w:cs="宋体"/>
                <w:spacing w:val="-2"/>
                <w:sz w:val="24"/>
                <w:szCs w:val="24"/>
              </w:rPr>
              <w:t>落实政府采购政策需满足</w:t>
            </w:r>
            <w:r>
              <w:rPr>
                <w:rFonts w:ascii="宋体" w:hAnsi="宋体" w:cs="宋体"/>
                <w:spacing w:val="-18"/>
                <w:sz w:val="24"/>
                <w:szCs w:val="24"/>
              </w:rPr>
              <w:t>的资格要求：</w:t>
            </w:r>
            <w:r>
              <w:rPr>
                <w:rFonts w:ascii="宋体" w:hAnsi="宋体" w:cs="宋体"/>
                <w:spacing w:val="-18"/>
                <w:sz w:val="24"/>
                <w:szCs w:val="24"/>
                <w:highlight w:val="none"/>
              </w:rPr>
              <w:t>本项目专门面</w:t>
            </w:r>
            <w:r>
              <w:rPr>
                <w:rFonts w:ascii="宋体" w:hAnsi="宋体" w:cs="宋体"/>
                <w:spacing w:val="-7"/>
                <w:sz w:val="24"/>
                <w:szCs w:val="24"/>
                <w:highlight w:val="none"/>
              </w:rPr>
              <w:t>向中小企业采购。</w:t>
            </w:r>
          </w:p>
        </w:tc>
        <w:tc>
          <w:tcPr>
            <w:tcW w:w="4194" w:type="dxa"/>
            <w:vAlign w:val="center"/>
          </w:tcPr>
          <w:p>
            <w:pPr>
              <w:spacing w:before="78" w:line="185" w:lineRule="auto"/>
              <w:ind w:firstLine="136"/>
              <w:jc w:val="both"/>
              <w:rPr>
                <w:rFonts w:ascii="宋体" w:hAnsi="宋体" w:cs="宋体"/>
                <w:spacing w:val="-1"/>
                <w:sz w:val="24"/>
                <w:szCs w:val="24"/>
              </w:rPr>
            </w:pPr>
            <w:r>
              <w:rPr>
                <w:rFonts w:hint="eastAsia" w:ascii="宋体" w:hAnsi="宋体" w:cs="宋体"/>
                <w:spacing w:val="-3"/>
                <w:sz w:val="24"/>
                <w:szCs w:val="24"/>
                <w:lang w:val="en-US" w:eastAsia="zh-CN"/>
              </w:rPr>
              <w:t>中小微企业需提供《</w:t>
            </w:r>
            <w:r>
              <w:rPr>
                <w:rFonts w:ascii="宋体" w:hAnsi="宋体" w:cs="宋体"/>
                <w:spacing w:val="-3"/>
                <w:sz w:val="24"/>
                <w:szCs w:val="24"/>
              </w:rPr>
              <w:t>中小企业声明函</w:t>
            </w:r>
            <w:r>
              <w:rPr>
                <w:rFonts w:hint="eastAsia" w:ascii="宋体" w:hAnsi="宋体" w:cs="宋体"/>
                <w:spacing w:val="-3"/>
                <w:sz w:val="24"/>
                <w:szCs w:val="24"/>
                <w:lang w:val="en-US" w:eastAsia="zh-CN"/>
              </w:rPr>
              <w:t>》</w:t>
            </w:r>
          </w:p>
        </w:tc>
        <w:tc>
          <w:tcPr>
            <w:tcW w:w="1073"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6" w:hRule="atLeast"/>
        </w:trPr>
        <w:tc>
          <w:tcPr>
            <w:tcW w:w="713" w:type="dxa"/>
          </w:tcPr>
          <w:p>
            <w:pPr>
              <w:spacing w:line="244" w:lineRule="auto"/>
              <w:rPr>
                <w:sz w:val="24"/>
                <w:szCs w:val="24"/>
              </w:rPr>
            </w:pPr>
          </w:p>
          <w:p>
            <w:pPr>
              <w:spacing w:line="244" w:lineRule="auto"/>
              <w:rPr>
                <w:sz w:val="24"/>
                <w:szCs w:val="24"/>
              </w:rPr>
            </w:pPr>
          </w:p>
          <w:p>
            <w:pPr>
              <w:spacing w:line="245" w:lineRule="auto"/>
              <w:rPr>
                <w:sz w:val="24"/>
                <w:szCs w:val="24"/>
              </w:rPr>
            </w:pPr>
          </w:p>
          <w:p>
            <w:pPr>
              <w:pStyle w:val="21"/>
            </w:pPr>
          </w:p>
          <w:p>
            <w:pPr>
              <w:pStyle w:val="21"/>
            </w:pPr>
          </w:p>
          <w:p>
            <w:pPr>
              <w:pStyle w:val="21"/>
            </w:pPr>
          </w:p>
          <w:p>
            <w:pPr>
              <w:pStyle w:val="21"/>
            </w:pPr>
          </w:p>
          <w:p>
            <w:pPr>
              <w:pStyle w:val="21"/>
            </w:pPr>
          </w:p>
          <w:p>
            <w:pPr>
              <w:pStyle w:val="21"/>
            </w:pPr>
          </w:p>
          <w:p>
            <w:pPr>
              <w:pStyle w:val="21"/>
            </w:pPr>
          </w:p>
          <w:p>
            <w:pPr>
              <w:spacing w:before="78" w:line="180" w:lineRule="auto"/>
              <w:ind w:firstLine="290"/>
              <w:rPr>
                <w:sz w:val="24"/>
                <w:szCs w:val="24"/>
              </w:rPr>
            </w:pPr>
            <w:r>
              <w:rPr>
                <w:rFonts w:ascii="宋体" w:hAnsi="宋体" w:cs="宋体"/>
                <w:sz w:val="24"/>
                <w:szCs w:val="24"/>
              </w:rPr>
              <w:t>6</w:t>
            </w:r>
          </w:p>
        </w:tc>
        <w:tc>
          <w:tcPr>
            <w:tcW w:w="3158" w:type="dxa"/>
            <w:gridSpan w:val="2"/>
            <w:vAlign w:val="center"/>
          </w:tcPr>
          <w:p>
            <w:pPr>
              <w:spacing w:before="78" w:line="360" w:lineRule="auto"/>
              <w:ind w:firstLine="113"/>
              <w:jc w:val="center"/>
              <w:rPr>
                <w:rFonts w:ascii="宋体" w:hAnsi="宋体" w:cs="宋体"/>
                <w:spacing w:val="-5"/>
                <w:sz w:val="24"/>
                <w:szCs w:val="24"/>
              </w:rPr>
            </w:pPr>
            <w:r>
              <w:rPr>
                <w:rFonts w:ascii="宋体" w:hAnsi="宋体" w:cs="宋体"/>
                <w:spacing w:val="-1"/>
                <w:sz w:val="24"/>
                <w:szCs w:val="24"/>
              </w:rPr>
              <w:t>本项目的特定资格要求</w:t>
            </w:r>
          </w:p>
        </w:tc>
        <w:tc>
          <w:tcPr>
            <w:tcW w:w="4194" w:type="dxa"/>
          </w:tcPr>
          <w:p>
            <w:pPr>
              <w:widowControl/>
              <w:spacing w:line="360" w:lineRule="auto"/>
              <w:jc w:val="left"/>
              <w:rPr>
                <w:rFonts w:ascii="宋体" w:hAnsi="宋体" w:cs="宋体"/>
                <w:spacing w:val="-1"/>
                <w:sz w:val="24"/>
                <w:szCs w:val="24"/>
              </w:rPr>
            </w:pPr>
            <w:r>
              <w:rPr>
                <w:rFonts w:hint="eastAsia" w:ascii="宋体" w:hAnsi="宋体" w:cs="宋体"/>
                <w:spacing w:val="-1"/>
                <w:sz w:val="24"/>
                <w:szCs w:val="24"/>
              </w:rPr>
              <w:t>（</w:t>
            </w:r>
            <w:r>
              <w:rPr>
                <w:rFonts w:hint="eastAsia" w:ascii="宋体" w:hAnsi="宋体" w:cs="宋体"/>
                <w:spacing w:val="-1"/>
                <w:sz w:val="24"/>
                <w:szCs w:val="24"/>
                <w:lang w:val="en-US"/>
              </w:rPr>
              <w:t>1</w:t>
            </w:r>
            <w:r>
              <w:rPr>
                <w:rFonts w:hint="eastAsia" w:ascii="宋体" w:hAnsi="宋体" w:cs="宋体"/>
                <w:spacing w:val="-1"/>
                <w:sz w:val="24"/>
                <w:szCs w:val="24"/>
              </w:rPr>
              <w:t>）提供企业诚信承诺书(承诺提交的文件材料均是合法、真实、有效,如有弄虚作假行为,愿意授受取消本项目参与资格且接受相关部门依法处罚)。（</w:t>
            </w:r>
            <w:r>
              <w:rPr>
                <w:rFonts w:hint="eastAsia" w:ascii="宋体" w:hAnsi="宋体" w:cs="宋体"/>
                <w:spacing w:val="-1"/>
                <w:sz w:val="24"/>
                <w:szCs w:val="24"/>
                <w:lang w:val="en-US"/>
              </w:rPr>
              <w:t>2</w:t>
            </w:r>
            <w:r>
              <w:rPr>
                <w:rFonts w:hint="eastAsia" w:ascii="宋体" w:hAnsi="宋体" w:cs="宋体"/>
                <w:spacing w:val="-1"/>
                <w:sz w:val="24"/>
                <w:szCs w:val="24"/>
              </w:rPr>
              <w:t>）承诺单位负责人为同一人或者存在直接控股、管理关系的不同供应商，不得参加本项目同一合同项下的政府采购活动。（</w:t>
            </w:r>
            <w:r>
              <w:rPr>
                <w:rFonts w:hint="eastAsia" w:ascii="宋体" w:hAnsi="宋体" w:cs="宋体"/>
                <w:spacing w:val="-1"/>
                <w:sz w:val="24"/>
                <w:szCs w:val="24"/>
                <w:lang w:val="en-US"/>
              </w:rPr>
              <w:t>3</w:t>
            </w:r>
            <w:r>
              <w:rPr>
                <w:rFonts w:hint="eastAsia" w:ascii="宋体" w:hAnsi="宋体" w:cs="宋体"/>
                <w:spacing w:val="-1"/>
                <w:sz w:val="24"/>
                <w:szCs w:val="24"/>
              </w:rPr>
              <w:t>）承诺为本采购项目提供整体设计、规范编制或者项目管理、监理、检测等服务的，不得再参加本项目的其他政府采购活动。（</w:t>
            </w:r>
            <w:r>
              <w:rPr>
                <w:rFonts w:hint="eastAsia" w:ascii="宋体" w:hAnsi="宋体" w:cs="宋体"/>
                <w:spacing w:val="-1"/>
                <w:sz w:val="24"/>
                <w:szCs w:val="24"/>
                <w:lang w:val="en-US"/>
              </w:rPr>
              <w:t>4</w:t>
            </w:r>
            <w:r>
              <w:rPr>
                <w:rFonts w:hint="eastAsia" w:ascii="宋体" w:hAnsi="宋体" w:cs="宋体"/>
                <w:spacing w:val="-1"/>
                <w:sz w:val="24"/>
                <w:szCs w:val="24"/>
              </w:rPr>
              <w:t>）承诺未被列入失信被执行人、 重大税收违法失信主体，政府采购严重违法失信行为记录名单。</w:t>
            </w:r>
          </w:p>
        </w:tc>
        <w:tc>
          <w:tcPr>
            <w:tcW w:w="1073" w:type="dxa"/>
          </w:tcPr>
          <w:p>
            <w:pPr>
              <w:rPr>
                <w:sz w:val="24"/>
                <w:szCs w:val="24"/>
              </w:rPr>
            </w:pPr>
          </w:p>
        </w:tc>
      </w:tr>
    </w:tbl>
    <w:p>
      <w:pPr>
        <w:pStyle w:val="2"/>
      </w:pPr>
    </w:p>
    <w:p>
      <w:pPr>
        <w:spacing w:before="37" w:line="185" w:lineRule="auto"/>
        <w:rPr>
          <w:rFonts w:ascii="宋体" w:hAnsi="宋体" w:cs="宋体"/>
          <w:sz w:val="24"/>
        </w:rPr>
      </w:pPr>
      <w:r>
        <w:rPr>
          <w:rFonts w:ascii="宋体" w:hAnsi="宋体" w:cs="宋体"/>
          <w:spacing w:val="-9"/>
          <w:sz w:val="24"/>
        </w:rPr>
        <w:t>特别说明：</w:t>
      </w:r>
      <w:r>
        <w:rPr>
          <w:rFonts w:ascii="宋体" w:hAnsi="宋体" w:cs="宋体"/>
          <w:spacing w:val="-2"/>
          <w:sz w:val="24"/>
        </w:rPr>
        <w:t>（1）供应商所提供材料的要求详见供应商须知前附表。</w:t>
      </w:r>
    </w:p>
    <w:p>
      <w:pPr>
        <w:spacing w:before="228" w:line="272" w:lineRule="auto"/>
        <w:ind w:left="161" w:right="-89" w:rightChars="0" w:firstLine="482"/>
        <w:rPr>
          <w:rFonts w:asciiTheme="minorEastAsia" w:hAnsiTheme="minorEastAsia" w:eastAsiaTheme="minorEastAsia" w:cstheme="minorEastAsia"/>
          <w:b/>
          <w:szCs w:val="21"/>
        </w:rPr>
      </w:pPr>
      <w:r>
        <w:rPr>
          <w:rFonts w:ascii="宋体" w:hAnsi="宋体" w:cs="宋体"/>
          <w:spacing w:val="1"/>
          <w:sz w:val="24"/>
        </w:rPr>
        <w:t>（2）对于响应文件中有任意一条不满足上表要求的将导致其</w:t>
      </w:r>
      <w:r>
        <w:rPr>
          <w:rFonts w:hint="eastAsia" w:ascii="宋体" w:hAnsi="宋体" w:cs="宋体"/>
          <w:spacing w:val="1"/>
          <w:sz w:val="24"/>
        </w:rPr>
        <w:t>投标</w:t>
      </w:r>
      <w:r>
        <w:rPr>
          <w:rFonts w:ascii="宋体" w:hAnsi="宋体" w:cs="宋体"/>
          <w:spacing w:val="1"/>
          <w:sz w:val="24"/>
        </w:rPr>
        <w:t>无效，不进入下</w:t>
      </w:r>
      <w:r>
        <w:rPr>
          <w:rFonts w:ascii="宋体" w:hAnsi="宋体" w:cs="宋体"/>
          <w:spacing w:val="-8"/>
          <w:sz w:val="24"/>
        </w:rPr>
        <w:t>一项评审。</w:t>
      </w:r>
    </w:p>
    <w:p>
      <w:pPr>
        <w:rPr>
          <w:rFonts w:asciiTheme="minorEastAsia" w:hAnsiTheme="minorEastAsia" w:eastAsiaTheme="minorEastAsia" w:cstheme="minorEastAsia"/>
          <w:b/>
          <w:szCs w:val="21"/>
        </w:rPr>
      </w:pPr>
      <w:bookmarkStart w:id="177" w:name="_Toc29802"/>
      <w:r>
        <w:rPr>
          <w:rFonts w:hint="eastAsia" w:asciiTheme="minorEastAsia" w:hAnsiTheme="minorEastAsia" w:eastAsiaTheme="minorEastAsia" w:cstheme="minorEastAsia"/>
          <w:b/>
          <w:szCs w:val="21"/>
        </w:rPr>
        <w:br w:type="page"/>
      </w:r>
    </w:p>
    <w:p>
      <w:pPr>
        <w:spacing w:line="360" w:lineRule="auto"/>
        <w:jc w:val="center"/>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附表2：符合性检查表</w:t>
      </w:r>
      <w:bookmarkEnd w:id="177"/>
    </w:p>
    <w:tbl>
      <w:tblPr>
        <w:tblStyle w:val="45"/>
        <w:tblW w:w="9124" w:type="dxa"/>
        <w:tblInd w:w="0" w:type="dxa"/>
        <w:tblLayout w:type="fixed"/>
        <w:tblCellMar>
          <w:top w:w="0" w:type="dxa"/>
          <w:left w:w="108" w:type="dxa"/>
          <w:bottom w:w="0" w:type="dxa"/>
          <w:right w:w="108" w:type="dxa"/>
        </w:tblCellMar>
      </w:tblPr>
      <w:tblGrid>
        <w:gridCol w:w="800"/>
        <w:gridCol w:w="7150"/>
        <w:gridCol w:w="1174"/>
      </w:tblGrid>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spacing w:before="292"/>
              <w:rPr>
                <w:rFonts w:ascii="宋体" w:hAnsi="宋体" w:cs="宋体"/>
                <w:spacing w:val="-6"/>
                <w:sz w:val="24"/>
                <w:szCs w:val="24"/>
              </w:rPr>
            </w:pPr>
            <w:r>
              <w:rPr>
                <w:rFonts w:hint="eastAsia" w:ascii="宋体" w:hAnsi="宋体" w:cs="宋体"/>
                <w:spacing w:val="-6"/>
                <w:sz w:val="24"/>
                <w:szCs w:val="24"/>
              </w:rPr>
              <w:t>序号</w:t>
            </w:r>
          </w:p>
        </w:tc>
        <w:tc>
          <w:tcPr>
            <w:tcW w:w="7150" w:type="dxa"/>
            <w:tcBorders>
              <w:top w:val="single" w:color="auto" w:sz="4" w:space="0"/>
              <w:left w:val="single" w:color="auto" w:sz="4" w:space="0"/>
              <w:bottom w:val="single" w:color="auto" w:sz="4" w:space="0"/>
              <w:right w:val="single" w:color="auto" w:sz="4" w:space="0"/>
            </w:tcBorders>
            <w:vAlign w:val="center"/>
          </w:tcPr>
          <w:p>
            <w:pPr>
              <w:spacing w:before="292"/>
              <w:ind w:firstLine="209"/>
              <w:jc w:val="center"/>
              <w:rPr>
                <w:rFonts w:ascii="宋体" w:hAnsi="宋体" w:cs="宋体"/>
                <w:spacing w:val="-6"/>
                <w:sz w:val="24"/>
                <w:szCs w:val="24"/>
              </w:rPr>
            </w:pPr>
            <w:r>
              <w:rPr>
                <w:rFonts w:hint="eastAsia" w:ascii="宋体" w:hAnsi="宋体" w:cs="宋体"/>
                <w:spacing w:val="-6"/>
                <w:sz w:val="24"/>
                <w:szCs w:val="24"/>
              </w:rPr>
              <w:t>审核内容</w:t>
            </w:r>
          </w:p>
        </w:tc>
        <w:tc>
          <w:tcPr>
            <w:tcW w:w="1174" w:type="dxa"/>
            <w:tcBorders>
              <w:top w:val="single" w:color="auto" w:sz="4" w:space="0"/>
              <w:left w:val="nil"/>
              <w:bottom w:val="single" w:color="auto" w:sz="4" w:space="0"/>
              <w:right w:val="single" w:color="auto" w:sz="4" w:space="0"/>
            </w:tcBorders>
            <w:vAlign w:val="center"/>
          </w:tcPr>
          <w:p>
            <w:pPr>
              <w:spacing w:before="292"/>
              <w:rPr>
                <w:rFonts w:ascii="宋体" w:hAnsi="宋体" w:cs="宋体"/>
                <w:spacing w:val="-6"/>
                <w:sz w:val="24"/>
                <w:szCs w:val="24"/>
              </w:rPr>
            </w:pPr>
            <w:r>
              <w:rPr>
                <w:rFonts w:hint="eastAsia" w:ascii="宋体" w:hAnsi="宋体" w:cs="宋体"/>
                <w:spacing w:val="-6"/>
                <w:sz w:val="24"/>
                <w:szCs w:val="24"/>
              </w:rPr>
              <w:t>审查结果</w:t>
            </w:r>
          </w:p>
        </w:tc>
      </w:tr>
      <w:tr>
        <w:tblPrEx>
          <w:tblCellMar>
            <w:top w:w="0" w:type="dxa"/>
            <w:left w:w="108" w:type="dxa"/>
            <w:bottom w:w="0" w:type="dxa"/>
            <w:right w:w="108" w:type="dxa"/>
          </w:tblCellMar>
        </w:tblPrEx>
        <w:trPr>
          <w:trHeight w:val="454" w:hRule="atLeast"/>
        </w:trPr>
        <w:tc>
          <w:tcPr>
            <w:tcW w:w="800" w:type="dxa"/>
            <w:tcBorders>
              <w:top w:val="nil"/>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w:t>
            </w:r>
          </w:p>
        </w:tc>
        <w:tc>
          <w:tcPr>
            <w:tcW w:w="7150" w:type="dxa"/>
            <w:tcBorders>
              <w:top w:val="nil"/>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按照磋商文件规定要求签署、盖章；</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按磋商文件要求进行报价；</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磋商有效期满足磋商文件规定；</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响应文件中未附有采购人不能接受条件；</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响应文件满足磋商文件商务、技术等实质性要求；</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供应商未出现磋商文件中规定无效投标的其它条款；</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w:t>
            </w:r>
          </w:p>
        </w:tc>
        <w:tc>
          <w:tcPr>
            <w:tcW w:w="7150"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供应商未有下列任一情形：</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（1）不同供应商的响应文件由同一单位或者个人编制；</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（2）不同供应商委托同一单位或者个人办理投标事宜；</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（3）不同供应商的响应文件载明的项目管理成员或者联系人员为同一人；</w:t>
            </w:r>
          </w:p>
          <w:p>
            <w:pPr>
              <w:widowControl/>
              <w:adjustRightInd w:val="0"/>
              <w:snapToGrid w:val="0"/>
              <w:spacing w:line="360" w:lineRule="auto"/>
              <w:rPr>
                <w:rFonts w:hint="eastAsia" w:asciiTheme="minorEastAsia" w:hAnsiTheme="minorEastAsia" w:eastAsiaTheme="minorEastAsia" w:cstheme="minorEastAsia"/>
                <w:kern w:val="0"/>
                <w:sz w:val="24"/>
                <w:szCs w:val="24"/>
                <w:lang w:val="hr-HR"/>
              </w:rPr>
            </w:pPr>
            <w:r>
              <w:rPr>
                <w:rFonts w:hint="eastAsia" w:asciiTheme="minorEastAsia" w:hAnsiTheme="minorEastAsia" w:eastAsiaTheme="minorEastAsia" w:cstheme="minorEastAsia"/>
                <w:kern w:val="0"/>
                <w:sz w:val="24"/>
                <w:szCs w:val="24"/>
                <w:lang w:val="hr-HR"/>
              </w:rPr>
              <w:t>（4）不同供应商的响应文件异常一致或者投标报价呈规律性差异；</w:t>
            </w:r>
          </w:p>
          <w:p>
            <w:pPr>
              <w:widowControl/>
              <w:adjustRightInd w:val="0"/>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hr-HR"/>
              </w:rPr>
              <w:t>（5）不同供应商的响应文件相互混装。</w:t>
            </w:r>
          </w:p>
        </w:tc>
        <w:tc>
          <w:tcPr>
            <w:tcW w:w="1174" w:type="dxa"/>
            <w:tcBorders>
              <w:top w:val="nil"/>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795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审核结论</w:t>
            </w:r>
          </w:p>
        </w:tc>
        <w:tc>
          <w:tcPr>
            <w:tcW w:w="1174" w:type="dxa"/>
            <w:tcBorders>
              <w:top w:val="single" w:color="auto" w:sz="4" w:space="0"/>
              <w:left w:val="nil"/>
              <w:bottom w:val="single" w:color="auto" w:sz="4" w:space="0"/>
              <w:right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p>
        </w:tc>
      </w:tr>
      <w:tr>
        <w:tblPrEx>
          <w:tblCellMar>
            <w:top w:w="0" w:type="dxa"/>
            <w:left w:w="108" w:type="dxa"/>
            <w:bottom w:w="0" w:type="dxa"/>
            <w:right w:w="108" w:type="dxa"/>
          </w:tblCellMar>
        </w:tblPrEx>
        <w:trPr>
          <w:trHeight w:val="454" w:hRule="atLeast"/>
        </w:trPr>
        <w:tc>
          <w:tcPr>
            <w:tcW w:w="9124" w:type="dxa"/>
            <w:gridSpan w:val="3"/>
            <w:tcBorders>
              <w:top w:val="single" w:color="auto" w:sz="4" w:space="0"/>
            </w:tcBorders>
            <w:vAlign w:val="center"/>
          </w:tcPr>
          <w:p>
            <w:pPr>
              <w:widowControl/>
              <w:adjustRightInd w:val="0"/>
              <w:snapToGrid w:val="0"/>
              <w:spacing w:line="360" w:lineRule="auto"/>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说明：</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1、磋商小组分别对每一响应文件依据上表进行检查。</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2、磋商小组评审只根据响应文件本身的真实无误的内容，而不依据外部的证据，但响应文件有不真实不正确的内容时除外。</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3、满足要求的条款打“√”，否则为“×”。</w:t>
            </w:r>
          </w:p>
        </w:tc>
      </w:tr>
      <w:tr>
        <w:tblPrEx>
          <w:tblCellMar>
            <w:top w:w="0" w:type="dxa"/>
            <w:left w:w="108" w:type="dxa"/>
            <w:bottom w:w="0" w:type="dxa"/>
            <w:right w:w="108" w:type="dxa"/>
          </w:tblCellMar>
        </w:tblPrEx>
        <w:trPr>
          <w:trHeight w:val="454" w:hRule="atLeast"/>
        </w:trPr>
        <w:tc>
          <w:tcPr>
            <w:tcW w:w="9124" w:type="dxa"/>
            <w:gridSpan w:val="3"/>
          </w:tcPr>
          <w:p>
            <w:pPr>
              <w:spacing w:line="360" w:lineRule="auto"/>
              <w:rPr>
                <w:rFonts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4、对于响应文件中有任意一条不满足要求将导致其响应无效，不进入下一项评审。</w:t>
            </w:r>
          </w:p>
        </w:tc>
      </w:tr>
    </w:tbl>
    <w:p>
      <w:pPr>
        <w:spacing w:line="360" w:lineRule="auto"/>
        <w:rPr>
          <w:rFonts w:asciiTheme="minorEastAsia" w:hAnsiTheme="minorEastAsia" w:eastAsiaTheme="minorEastAsia" w:cstheme="minorEastAsia"/>
          <w:szCs w:val="21"/>
        </w:rPr>
      </w:pPr>
    </w:p>
    <w:p>
      <w:pPr>
        <w:spacing w:line="360" w:lineRule="auto"/>
        <w:rPr>
          <w:rFonts w:asciiTheme="minorEastAsia" w:hAnsiTheme="minorEastAsia" w:eastAsiaTheme="minorEastAsia" w:cstheme="minorEastAsia"/>
          <w:szCs w:val="21"/>
        </w:rPr>
        <w:sectPr>
          <w:pgSz w:w="11907" w:h="16840"/>
          <w:pgMar w:top="1418" w:right="1588" w:bottom="1247" w:left="1588" w:header="907" w:footer="907" w:gutter="0"/>
          <w:pgBorders>
            <w:top w:val="none" w:sz="0" w:space="0"/>
            <w:left w:val="none" w:sz="0" w:space="0"/>
            <w:bottom w:val="none" w:sz="0" w:space="0"/>
            <w:right w:val="none" w:sz="0" w:space="0"/>
          </w:pgBorders>
          <w:cols w:space="720" w:num="1"/>
          <w:docGrid w:linePitch="312" w:charSpace="0"/>
        </w:sectPr>
      </w:pPr>
    </w:p>
    <w:p>
      <w:pPr>
        <w:spacing w:line="360" w:lineRule="auto"/>
        <w:jc w:val="center"/>
        <w:outlineLvl w:val="1"/>
        <w:rPr>
          <w:rFonts w:hint="eastAsia" w:asciiTheme="minorEastAsia" w:hAnsiTheme="minorEastAsia" w:eastAsiaTheme="minorEastAsia" w:cstheme="minorEastAsia"/>
          <w:b/>
          <w:sz w:val="24"/>
          <w:szCs w:val="24"/>
          <w:highlight w:val="none"/>
        </w:rPr>
      </w:pPr>
      <w:bookmarkStart w:id="178" w:name="_Toc9151"/>
      <w:r>
        <w:rPr>
          <w:rFonts w:hint="eastAsia" w:asciiTheme="minorEastAsia" w:hAnsiTheme="minorEastAsia" w:eastAsiaTheme="minorEastAsia" w:cstheme="minorEastAsia"/>
          <w:b/>
          <w:sz w:val="24"/>
          <w:szCs w:val="24"/>
          <w:highlight w:val="none"/>
        </w:rPr>
        <w:t>5.2评审标准</w:t>
      </w:r>
      <w:bookmarkEnd w:id="178"/>
    </w:p>
    <w:tbl>
      <w:tblPr>
        <w:tblStyle w:val="45"/>
        <w:tblW w:w="9604" w:type="dxa"/>
        <w:jc w:val="center"/>
        <w:tblLayout w:type="fixed"/>
        <w:tblCellMar>
          <w:top w:w="0" w:type="dxa"/>
          <w:left w:w="108" w:type="dxa"/>
          <w:bottom w:w="0" w:type="dxa"/>
          <w:right w:w="108" w:type="dxa"/>
        </w:tblCellMar>
      </w:tblPr>
      <w:tblGrid>
        <w:gridCol w:w="1262"/>
        <w:gridCol w:w="1227"/>
        <w:gridCol w:w="6624"/>
        <w:gridCol w:w="491"/>
      </w:tblGrid>
      <w:tr>
        <w:tblPrEx>
          <w:tblCellMar>
            <w:top w:w="0" w:type="dxa"/>
            <w:left w:w="108" w:type="dxa"/>
            <w:bottom w:w="0" w:type="dxa"/>
            <w:right w:w="108" w:type="dxa"/>
          </w:tblCellMar>
        </w:tblPrEx>
        <w:trPr>
          <w:trHeight w:val="618" w:hRule="atLeast"/>
          <w:jc w:val="center"/>
        </w:trPr>
        <w:tc>
          <w:tcPr>
            <w:tcW w:w="12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评标项目</w:t>
            </w:r>
          </w:p>
        </w:tc>
        <w:tc>
          <w:tcPr>
            <w:tcW w:w="1227"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评标分项</w:t>
            </w:r>
          </w:p>
        </w:tc>
        <w:tc>
          <w:tcPr>
            <w:tcW w:w="6624"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评标分项内容</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分值</w:t>
            </w:r>
          </w:p>
        </w:tc>
      </w:tr>
      <w:tr>
        <w:tblPrEx>
          <w:tblCellMar>
            <w:top w:w="0" w:type="dxa"/>
            <w:left w:w="108" w:type="dxa"/>
            <w:bottom w:w="0" w:type="dxa"/>
            <w:right w:w="108" w:type="dxa"/>
          </w:tblCellMar>
        </w:tblPrEx>
        <w:trPr>
          <w:trHeight w:val="618" w:hRule="atLeast"/>
          <w:jc w:val="center"/>
        </w:trPr>
        <w:tc>
          <w:tcPr>
            <w:tcW w:w="1262" w:type="dxa"/>
            <w:tcBorders>
              <w:top w:val="single" w:color="auto" w:sz="4" w:space="0"/>
              <w:left w:val="single" w:color="auto" w:sz="4" w:space="0"/>
              <w:bottom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价格部分（10分）</w:t>
            </w:r>
          </w:p>
        </w:tc>
        <w:tc>
          <w:tcPr>
            <w:tcW w:w="1227"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投标报价</w:t>
            </w:r>
          </w:p>
        </w:tc>
        <w:tc>
          <w:tcPr>
            <w:tcW w:w="6624" w:type="dxa"/>
            <w:tcBorders>
              <w:top w:val="single" w:color="auto" w:sz="4" w:space="0"/>
              <w:left w:val="nil"/>
              <w:bottom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评标委员会对资格审查、符合性审查均合格的投标文件进行价格评议，报价分采用低价优先法计算，即满足招标文件要求且投标价格（落实政府采购政策进行价格调整的，以调整后的价格计算）最低的投标报价为评标基准价，其价格分为满分。其他投标人的价格分按照下列公式计算：报价得分=(评标基准价／投标报价)×10%×100（精确到两位小数位，两位后实行四舍五入）</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w:t>
            </w:r>
          </w:p>
        </w:tc>
      </w:tr>
      <w:tr>
        <w:tblPrEx>
          <w:tblCellMar>
            <w:top w:w="0" w:type="dxa"/>
            <w:left w:w="108" w:type="dxa"/>
            <w:bottom w:w="0" w:type="dxa"/>
            <w:right w:w="108" w:type="dxa"/>
          </w:tblCellMar>
        </w:tblPrEx>
        <w:trPr>
          <w:trHeight w:val="745" w:hRule="atLeast"/>
          <w:jc w:val="center"/>
        </w:trPr>
        <w:tc>
          <w:tcPr>
            <w:tcW w:w="1262" w:type="dxa"/>
            <w:vMerge w:val="restart"/>
            <w:tcBorders>
              <w:top w:val="single" w:color="auto" w:sz="4" w:space="0"/>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商务部分（</w:t>
            </w:r>
            <w:r>
              <w:rPr>
                <w:rFonts w:hint="eastAsia" w:asciiTheme="minorEastAsia" w:hAnsiTheme="minorEastAsia" w:eastAsiaTheme="minorEastAsia" w:cstheme="minorEastAsia"/>
                <w:sz w:val="22"/>
                <w:szCs w:val="22"/>
                <w:lang w:val="en-US" w:eastAsia="zh-CN"/>
              </w:rPr>
              <w:t>3</w:t>
            </w:r>
            <w:r>
              <w:rPr>
                <w:rFonts w:hint="eastAsia" w:asciiTheme="minorEastAsia" w:hAnsiTheme="minorEastAsia" w:eastAsiaTheme="minorEastAsia" w:cstheme="minorEastAsia"/>
                <w:sz w:val="22"/>
                <w:szCs w:val="22"/>
              </w:rPr>
              <w:t>0分）</w:t>
            </w:r>
          </w:p>
        </w:tc>
        <w:tc>
          <w:tcPr>
            <w:tcW w:w="12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企业能力</w:t>
            </w:r>
          </w:p>
        </w:tc>
        <w:tc>
          <w:tcPr>
            <w:tcW w:w="6624" w:type="dxa"/>
            <w:tcBorders>
              <w:top w:val="single" w:color="auto" w:sz="4" w:space="0"/>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rPr>
              <w:t>投标人具有有效的职业健康安全管理体系认证证书、环境管理体系认证证书、有效的质量管理体系认证证书的得3分；每缺少一项证书扣1分，扣完为止。</w:t>
            </w:r>
            <w:r>
              <w:rPr>
                <w:rFonts w:hint="eastAsia" w:asciiTheme="minorEastAsia" w:hAnsiTheme="minorEastAsia" w:eastAsiaTheme="minorEastAsia" w:cstheme="minorEastAsia"/>
                <w:sz w:val="22"/>
                <w:szCs w:val="22"/>
                <w:lang w:val="en-US" w:eastAsia="zh-CN"/>
              </w:rPr>
              <w:t>提供相关证明材料。</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w:t>
            </w:r>
          </w:p>
        </w:tc>
      </w:tr>
      <w:tr>
        <w:tblPrEx>
          <w:tblCellMar>
            <w:top w:w="0" w:type="dxa"/>
            <w:left w:w="108" w:type="dxa"/>
            <w:bottom w:w="0" w:type="dxa"/>
            <w:right w:w="108" w:type="dxa"/>
          </w:tblCellMar>
        </w:tblPrEx>
        <w:trPr>
          <w:trHeight w:val="745"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vMerge w:val="restart"/>
            <w:tcBorders>
              <w:top w:val="single" w:color="auto" w:sz="4" w:space="0"/>
              <w:left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拟投入人员素质</w:t>
            </w:r>
          </w:p>
        </w:tc>
        <w:tc>
          <w:tcPr>
            <w:tcW w:w="6624" w:type="dxa"/>
            <w:tcBorders>
              <w:top w:val="single" w:color="auto" w:sz="4" w:space="0"/>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拟投入本工程项目管理班子组成人员，需提供岗位证书（安全员提供安全考核证）、二代身份证、劳动合同。机构健全、人员齐备、专业配套，拟投入管理班子人员7人及以上得4分，</w:t>
            </w:r>
            <w:r>
              <w:rPr>
                <w:rFonts w:hint="eastAsia" w:asciiTheme="minorEastAsia" w:hAnsiTheme="minorEastAsia" w:eastAsiaTheme="minorEastAsia" w:cstheme="minorEastAsia"/>
                <w:sz w:val="22"/>
                <w:szCs w:val="22"/>
                <w:lang w:val="en-US" w:eastAsia="zh-CN"/>
              </w:rPr>
              <w:t>5-6</w:t>
            </w:r>
            <w:r>
              <w:rPr>
                <w:rFonts w:hint="eastAsia" w:asciiTheme="minorEastAsia" w:hAnsiTheme="minorEastAsia" w:eastAsiaTheme="minorEastAsia" w:cstheme="minorEastAsia"/>
                <w:sz w:val="22"/>
                <w:szCs w:val="22"/>
              </w:rPr>
              <w:t>人得</w:t>
            </w:r>
            <w:r>
              <w:rPr>
                <w:rFonts w:hint="eastAsia" w:asciiTheme="minorEastAsia" w:hAnsiTheme="minorEastAsia" w:eastAsiaTheme="minorEastAsia" w:cstheme="minorEastAsia"/>
                <w:sz w:val="22"/>
                <w:szCs w:val="22"/>
                <w:lang w:val="en-US" w:eastAsia="zh-CN"/>
              </w:rPr>
              <w:t>3</w:t>
            </w:r>
            <w:r>
              <w:rPr>
                <w:rFonts w:hint="eastAsia" w:asciiTheme="minorEastAsia" w:hAnsiTheme="minorEastAsia" w:eastAsiaTheme="minorEastAsia" w:cstheme="minorEastAsia"/>
                <w:sz w:val="22"/>
                <w:szCs w:val="22"/>
              </w:rPr>
              <w:t>分，</w:t>
            </w:r>
            <w:r>
              <w:rPr>
                <w:rFonts w:hint="eastAsia" w:asciiTheme="minorEastAsia" w:hAnsiTheme="minorEastAsia" w:eastAsiaTheme="minorEastAsia" w:cstheme="minorEastAsia"/>
                <w:sz w:val="22"/>
                <w:szCs w:val="22"/>
                <w:lang w:val="en-US" w:eastAsia="zh-CN"/>
              </w:rPr>
              <w:t>3-4人得2分，</w:t>
            </w:r>
            <w:r>
              <w:rPr>
                <w:rFonts w:hint="eastAsia" w:asciiTheme="minorEastAsia" w:hAnsiTheme="minorEastAsia" w:eastAsiaTheme="minorEastAsia" w:cstheme="minorEastAsia"/>
                <w:sz w:val="22"/>
                <w:szCs w:val="22"/>
              </w:rPr>
              <w:t>少于</w:t>
            </w:r>
            <w:r>
              <w:rPr>
                <w:rFonts w:hint="eastAsia" w:asciiTheme="minorEastAsia" w:hAnsiTheme="minorEastAsia" w:eastAsiaTheme="minorEastAsia" w:cstheme="minorEastAsia"/>
                <w:sz w:val="22"/>
                <w:szCs w:val="22"/>
                <w:lang w:val="en-US" w:eastAsia="zh-CN"/>
              </w:rPr>
              <w:t>3</w:t>
            </w:r>
            <w:r>
              <w:rPr>
                <w:rFonts w:hint="eastAsia" w:asciiTheme="minorEastAsia" w:hAnsiTheme="minorEastAsia" w:eastAsiaTheme="minorEastAsia" w:cstheme="minorEastAsia"/>
                <w:sz w:val="22"/>
                <w:szCs w:val="22"/>
              </w:rPr>
              <w:t>人不得分。</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w:t>
            </w:r>
          </w:p>
        </w:tc>
      </w:tr>
      <w:tr>
        <w:tblPrEx>
          <w:tblCellMar>
            <w:top w:w="0" w:type="dxa"/>
            <w:left w:w="108" w:type="dxa"/>
            <w:bottom w:w="0" w:type="dxa"/>
            <w:right w:w="108" w:type="dxa"/>
          </w:tblCellMar>
        </w:tblPrEx>
        <w:trPr>
          <w:trHeight w:val="745"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vMerge w:val="continue"/>
            <w:tcBorders>
              <w:left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p>
        </w:tc>
        <w:tc>
          <w:tcPr>
            <w:tcW w:w="6624" w:type="dxa"/>
            <w:tcBorders>
              <w:top w:val="single" w:color="auto" w:sz="4" w:space="0"/>
              <w:left w:val="single" w:color="auto" w:sz="4" w:space="0"/>
              <w:right w:val="single" w:color="auto" w:sz="4" w:space="0"/>
            </w:tcBorders>
            <w:noWrap w:val="0"/>
            <w:vAlign w:val="center"/>
          </w:tcPr>
          <w:p>
            <w:pPr>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拟投入的项目经理须具备相关专业贰级</w:t>
            </w:r>
            <w:r>
              <w:rPr>
                <w:rFonts w:hint="eastAsia" w:asciiTheme="minorEastAsia" w:hAnsiTheme="minorEastAsia" w:eastAsiaTheme="minorEastAsia" w:cstheme="minorEastAsia"/>
                <w:sz w:val="22"/>
                <w:szCs w:val="22"/>
                <w:lang w:val="en-US" w:eastAsia="zh-CN"/>
              </w:rPr>
              <w:t>或</w:t>
            </w:r>
            <w:r>
              <w:rPr>
                <w:rFonts w:hint="eastAsia" w:asciiTheme="minorEastAsia" w:hAnsiTheme="minorEastAsia" w:eastAsiaTheme="minorEastAsia" w:cstheme="minorEastAsia"/>
                <w:sz w:val="22"/>
                <w:szCs w:val="22"/>
              </w:rPr>
              <w:t>以上注册建造师执业资格和有效的安全生产考核合格证书（B 证），得</w:t>
            </w:r>
            <w:r>
              <w:rPr>
                <w:rFonts w:hint="eastAsia" w:asciiTheme="minorEastAsia" w:hAnsiTheme="minorEastAsia" w:eastAsiaTheme="minorEastAsia" w:cstheme="minorEastAsia"/>
                <w:sz w:val="22"/>
                <w:szCs w:val="22"/>
                <w:lang w:val="en-US" w:eastAsia="zh-CN"/>
              </w:rPr>
              <w:t>3</w:t>
            </w:r>
            <w:r>
              <w:rPr>
                <w:rFonts w:hint="eastAsia" w:asciiTheme="minorEastAsia" w:hAnsiTheme="minorEastAsia" w:eastAsiaTheme="minorEastAsia" w:cstheme="minorEastAsia"/>
                <w:sz w:val="22"/>
                <w:szCs w:val="22"/>
              </w:rPr>
              <w:t>分，不提供或提供证书不全不得分</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3</w:t>
            </w:r>
          </w:p>
        </w:tc>
      </w:tr>
      <w:tr>
        <w:tblPrEx>
          <w:tblCellMar>
            <w:top w:w="0" w:type="dxa"/>
            <w:left w:w="108" w:type="dxa"/>
            <w:bottom w:w="0" w:type="dxa"/>
            <w:right w:w="108" w:type="dxa"/>
          </w:tblCellMar>
        </w:tblPrEx>
        <w:trPr>
          <w:trHeight w:val="745"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vMerge w:val="continue"/>
            <w:tcBorders>
              <w:left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p>
        </w:tc>
        <w:tc>
          <w:tcPr>
            <w:tcW w:w="6624" w:type="dxa"/>
            <w:tcBorders>
              <w:top w:val="single" w:color="auto" w:sz="4" w:space="0"/>
              <w:left w:val="single" w:color="auto" w:sz="4" w:space="0"/>
              <w:right w:val="single" w:color="auto" w:sz="4" w:space="0"/>
            </w:tcBorders>
            <w:noWrap w:val="0"/>
            <w:vAlign w:val="center"/>
          </w:tcPr>
          <w:p>
            <w:pPr>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拟投入项目技术负责人须具备相关专业中级及以上职称，提供身份证、职称证、劳动合同，得</w:t>
            </w:r>
            <w:r>
              <w:rPr>
                <w:rFonts w:hint="eastAsia" w:asciiTheme="minorEastAsia" w:hAnsiTheme="minorEastAsia" w:eastAsiaTheme="minorEastAsia" w:cstheme="minorEastAsia"/>
                <w:sz w:val="22"/>
                <w:szCs w:val="22"/>
                <w:lang w:val="en-US" w:eastAsia="zh-CN"/>
              </w:rPr>
              <w:t>2</w:t>
            </w:r>
            <w:r>
              <w:rPr>
                <w:rFonts w:hint="eastAsia" w:asciiTheme="minorEastAsia" w:hAnsiTheme="minorEastAsia" w:eastAsiaTheme="minorEastAsia" w:cstheme="minorEastAsia"/>
                <w:sz w:val="22"/>
                <w:szCs w:val="22"/>
              </w:rPr>
              <w:t>分，不提供或提供证书不全不得分</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lang w:val="en-US" w:eastAsia="zh-CN"/>
              </w:rPr>
              <w:t>2</w:t>
            </w:r>
          </w:p>
        </w:tc>
      </w:tr>
      <w:tr>
        <w:tblPrEx>
          <w:tblCellMar>
            <w:top w:w="0" w:type="dxa"/>
            <w:left w:w="108" w:type="dxa"/>
            <w:bottom w:w="0" w:type="dxa"/>
            <w:right w:w="108" w:type="dxa"/>
          </w:tblCellMar>
        </w:tblPrEx>
        <w:trPr>
          <w:trHeight w:val="745"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top w:val="single" w:color="auto" w:sz="4" w:space="0"/>
              <w:left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企业经验</w:t>
            </w:r>
          </w:p>
        </w:tc>
        <w:tc>
          <w:tcPr>
            <w:tcW w:w="6624" w:type="dxa"/>
            <w:tcBorders>
              <w:top w:val="single" w:color="auto" w:sz="4" w:space="0"/>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投标人有近五年</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lang w:val="en-US" w:eastAsia="zh-CN"/>
              </w:rPr>
              <w:t>2018年11月至今</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类似</w:t>
            </w:r>
            <w:r>
              <w:rPr>
                <w:rFonts w:hint="eastAsia" w:asciiTheme="minorEastAsia" w:hAnsiTheme="minorEastAsia" w:eastAsiaTheme="minorEastAsia" w:cstheme="minorEastAsia"/>
                <w:sz w:val="22"/>
                <w:szCs w:val="22"/>
                <w:lang w:val="en-US" w:eastAsia="zh-CN"/>
              </w:rPr>
              <w:t>项目业绩</w:t>
            </w:r>
            <w:r>
              <w:rPr>
                <w:rFonts w:hint="eastAsia" w:asciiTheme="minorEastAsia" w:hAnsiTheme="minorEastAsia" w:eastAsiaTheme="minorEastAsia" w:cstheme="minorEastAsia"/>
                <w:sz w:val="22"/>
                <w:szCs w:val="22"/>
              </w:rPr>
              <w:t>，提供1个得</w:t>
            </w:r>
            <w:r>
              <w:rPr>
                <w:rFonts w:hint="eastAsia" w:asciiTheme="minorEastAsia" w:hAnsiTheme="minorEastAsia" w:eastAsiaTheme="minorEastAsia" w:cstheme="minorEastAsia"/>
                <w:sz w:val="22"/>
                <w:szCs w:val="22"/>
                <w:lang w:val="en-US" w:eastAsia="zh-CN"/>
              </w:rPr>
              <w:t>3</w:t>
            </w:r>
            <w:r>
              <w:rPr>
                <w:rFonts w:hint="eastAsia" w:asciiTheme="minorEastAsia" w:hAnsiTheme="minorEastAsia" w:eastAsiaTheme="minorEastAsia" w:cstheme="minorEastAsia"/>
                <w:sz w:val="22"/>
                <w:szCs w:val="22"/>
              </w:rPr>
              <w:t>分，最高</w:t>
            </w:r>
            <w:r>
              <w:rPr>
                <w:rFonts w:hint="eastAsia" w:asciiTheme="minorEastAsia" w:hAnsiTheme="minorEastAsia" w:eastAsiaTheme="minorEastAsia" w:cstheme="minorEastAsia"/>
                <w:sz w:val="22"/>
                <w:szCs w:val="22"/>
                <w:lang w:val="en-US" w:eastAsia="zh-CN"/>
              </w:rPr>
              <w:t>得15</w:t>
            </w:r>
            <w:r>
              <w:rPr>
                <w:rFonts w:hint="eastAsia" w:asciiTheme="minorEastAsia" w:hAnsiTheme="minorEastAsia" w:eastAsiaTheme="minorEastAsia" w:cstheme="minorEastAsia"/>
                <w:sz w:val="22"/>
                <w:szCs w:val="22"/>
              </w:rPr>
              <w:t>分。（需提供中标通知书及合同，未提供不得分）</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15</w:t>
            </w:r>
          </w:p>
        </w:tc>
      </w:tr>
      <w:tr>
        <w:tblPrEx>
          <w:tblCellMar>
            <w:top w:w="0" w:type="dxa"/>
            <w:left w:w="108" w:type="dxa"/>
            <w:bottom w:w="0" w:type="dxa"/>
            <w:right w:w="108" w:type="dxa"/>
          </w:tblCellMar>
        </w:tblPrEx>
        <w:trPr>
          <w:trHeight w:val="757"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top w:val="single" w:color="auto" w:sz="4" w:space="0"/>
              <w:left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项目评价</w:t>
            </w:r>
          </w:p>
        </w:tc>
        <w:tc>
          <w:tcPr>
            <w:tcW w:w="6624" w:type="dxa"/>
            <w:tcBorders>
              <w:top w:val="single" w:color="auto" w:sz="4" w:space="0"/>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color w:val="000000"/>
                <w:sz w:val="22"/>
                <w:szCs w:val="22"/>
              </w:rPr>
              <w:t>针对上述实施经验业绩提供验收证明资料，每个验收证明材料得1分，最多3分。（提供加盖各验收单位公章的证明材料）</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w:t>
            </w:r>
          </w:p>
        </w:tc>
      </w:tr>
      <w:tr>
        <w:tblPrEx>
          <w:tblCellMar>
            <w:top w:w="0" w:type="dxa"/>
            <w:left w:w="108" w:type="dxa"/>
            <w:bottom w:w="0" w:type="dxa"/>
            <w:right w:w="108" w:type="dxa"/>
          </w:tblCellMar>
        </w:tblPrEx>
        <w:trPr>
          <w:trHeight w:val="1257" w:hRule="atLeast"/>
          <w:jc w:val="center"/>
        </w:trPr>
        <w:tc>
          <w:tcPr>
            <w:tcW w:w="1262" w:type="dxa"/>
            <w:vMerge w:val="restart"/>
            <w:tcBorders>
              <w:top w:val="single" w:color="auto" w:sz="4" w:space="0"/>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技术部分（</w:t>
            </w:r>
            <w:r>
              <w:rPr>
                <w:rFonts w:hint="eastAsia" w:asciiTheme="minorEastAsia" w:hAnsiTheme="minorEastAsia" w:eastAsiaTheme="minorEastAsia" w:cstheme="minorEastAsia"/>
                <w:sz w:val="22"/>
                <w:szCs w:val="22"/>
                <w:lang w:val="en-US" w:eastAsia="zh-CN"/>
              </w:rPr>
              <w:t>6</w:t>
            </w:r>
            <w:r>
              <w:rPr>
                <w:rFonts w:hint="eastAsia" w:asciiTheme="minorEastAsia" w:hAnsiTheme="minorEastAsia" w:eastAsiaTheme="minorEastAsia" w:cstheme="minorEastAsia"/>
                <w:sz w:val="22"/>
                <w:szCs w:val="22"/>
              </w:rPr>
              <w:t>0分）</w:t>
            </w:r>
          </w:p>
        </w:tc>
        <w:tc>
          <w:tcPr>
            <w:tcW w:w="12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项目理解</w:t>
            </w:r>
          </w:p>
        </w:tc>
        <w:tc>
          <w:tcPr>
            <w:tcW w:w="6624" w:type="dxa"/>
            <w:tcBorders>
              <w:top w:val="single" w:color="auto" w:sz="4" w:space="0"/>
              <w:left w:val="nil"/>
              <w:bottom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对本项目服务内容、工作要领、管理目标、专业技术的理解程度分析；对项目内容作了有针对性的全面、具体分析得</w:t>
            </w:r>
            <w:r>
              <w:rPr>
                <w:rFonts w:hint="eastAsia" w:asciiTheme="minorEastAsia" w:hAnsiTheme="minorEastAsia" w:eastAsiaTheme="minorEastAsia" w:cstheme="minorEastAsia"/>
                <w:color w:val="000000"/>
                <w:sz w:val="22"/>
                <w:szCs w:val="22"/>
              </w:rPr>
              <w:t>10分；对项目内容分析有一定的层次性，体现项目要求，得</w:t>
            </w:r>
            <w:r>
              <w:rPr>
                <w:rFonts w:hint="eastAsia" w:asciiTheme="minorEastAsia" w:hAnsiTheme="minorEastAsia" w:eastAsiaTheme="minorEastAsia" w:cstheme="minorEastAsia"/>
                <w:color w:val="000000"/>
                <w:sz w:val="22"/>
                <w:szCs w:val="22"/>
                <w:lang w:val="en-US" w:eastAsia="zh-CN"/>
              </w:rPr>
              <w:t>7</w:t>
            </w:r>
            <w:r>
              <w:rPr>
                <w:rFonts w:hint="eastAsia" w:asciiTheme="minorEastAsia" w:hAnsiTheme="minorEastAsia" w:eastAsiaTheme="minorEastAsia" w:cstheme="minorEastAsia"/>
                <w:color w:val="000000"/>
                <w:sz w:val="22"/>
                <w:szCs w:val="22"/>
              </w:rPr>
              <w:t>分；</w:t>
            </w:r>
          </w:p>
          <w:p>
            <w:pP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对项目内容分析没有层次性，没有体现项目要求，有明显缺陷，得</w:t>
            </w: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分；未提供不得分。</w:t>
            </w:r>
          </w:p>
        </w:tc>
        <w:tc>
          <w:tcPr>
            <w:tcW w:w="491"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10</w:t>
            </w:r>
          </w:p>
        </w:tc>
      </w:tr>
      <w:tr>
        <w:tblPrEx>
          <w:tblCellMar>
            <w:top w:w="0" w:type="dxa"/>
            <w:left w:w="108" w:type="dxa"/>
            <w:bottom w:w="0" w:type="dxa"/>
            <w:right w:w="108" w:type="dxa"/>
          </w:tblCellMar>
        </w:tblPrEx>
        <w:trPr>
          <w:trHeight w:val="1075"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top w:val="single" w:color="auto" w:sz="4" w:space="0"/>
              <w:left w:val="nil"/>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维护方案</w:t>
            </w:r>
          </w:p>
        </w:tc>
        <w:tc>
          <w:tcPr>
            <w:tcW w:w="6624" w:type="dxa"/>
            <w:tcBorders>
              <w:top w:val="single" w:color="auto" w:sz="4" w:space="0"/>
              <w:left w:val="nil"/>
              <w:bottom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方案符合相关规范要求，方案完全响应采购需求要求，得1</w:t>
            </w:r>
            <w:r>
              <w:rPr>
                <w:rFonts w:hint="eastAsia" w:asciiTheme="minorEastAsia" w:hAnsiTheme="minorEastAsia" w:eastAsiaTheme="minorEastAsia" w:cstheme="minorEastAsia"/>
                <w:sz w:val="22"/>
                <w:szCs w:val="22"/>
                <w:lang w:val="en-US" w:eastAsia="zh-CN"/>
              </w:rPr>
              <w:t>0</w:t>
            </w:r>
            <w:r>
              <w:rPr>
                <w:rFonts w:hint="eastAsia" w:asciiTheme="minorEastAsia" w:hAnsiTheme="minorEastAsia" w:eastAsiaTheme="minorEastAsia" w:cstheme="minorEastAsia"/>
                <w:sz w:val="22"/>
                <w:szCs w:val="22"/>
              </w:rPr>
              <w:t>分；方案响应采购需求要求有微小偏差，得</w:t>
            </w:r>
            <w:r>
              <w:rPr>
                <w:rFonts w:hint="eastAsia" w:asciiTheme="minorEastAsia" w:hAnsiTheme="minorEastAsia" w:eastAsiaTheme="minorEastAsia" w:cstheme="minorEastAsia"/>
                <w:sz w:val="22"/>
                <w:szCs w:val="22"/>
                <w:lang w:val="en-US" w:eastAsia="zh-CN"/>
              </w:rPr>
              <w:t>7</w:t>
            </w:r>
            <w:r>
              <w:rPr>
                <w:rFonts w:hint="eastAsia" w:asciiTheme="minorEastAsia" w:hAnsiTheme="minorEastAsia" w:eastAsiaTheme="minorEastAsia" w:cstheme="minorEastAsia"/>
                <w:sz w:val="22"/>
                <w:szCs w:val="22"/>
              </w:rPr>
              <w:t>分，方案建设响应采购需求要求但有明显欠缺，得</w:t>
            </w: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分，未提供不得分</w:t>
            </w:r>
            <w:r>
              <w:rPr>
                <w:rFonts w:hint="eastAsia" w:asciiTheme="minorEastAsia" w:hAnsiTheme="minorEastAsia" w:eastAsiaTheme="minorEastAsia" w:cstheme="minorEastAsia"/>
                <w:sz w:val="22"/>
                <w:szCs w:val="22"/>
                <w:lang w:eastAsia="zh-CN"/>
              </w:rPr>
              <w:t>。</w:t>
            </w:r>
          </w:p>
        </w:tc>
        <w:tc>
          <w:tcPr>
            <w:tcW w:w="491" w:type="dxa"/>
            <w:tcBorders>
              <w:top w:val="single" w:color="auto" w:sz="4" w:space="0"/>
              <w:left w:val="nil"/>
              <w:bottom w:val="single" w:color="auto" w:sz="4" w:space="0"/>
              <w:right w:val="single" w:color="auto" w:sz="4" w:space="0"/>
            </w:tcBorders>
            <w:noWrap w:val="0"/>
            <w:vAlign w:val="center"/>
          </w:tcPr>
          <w:p>
            <w:pPr>
              <w:contextualSpacing/>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bCs/>
                <w:sz w:val="22"/>
                <w:szCs w:val="22"/>
              </w:rPr>
              <w:t>1</w:t>
            </w:r>
            <w:r>
              <w:rPr>
                <w:rFonts w:hint="eastAsia" w:asciiTheme="minorEastAsia" w:hAnsiTheme="minorEastAsia" w:eastAsiaTheme="minorEastAsia" w:cstheme="minorEastAsia"/>
                <w:bCs/>
                <w:sz w:val="22"/>
                <w:szCs w:val="22"/>
                <w:lang w:val="en-US" w:eastAsia="zh-CN"/>
              </w:rPr>
              <w:t>0</w:t>
            </w:r>
          </w:p>
        </w:tc>
      </w:tr>
      <w:tr>
        <w:tblPrEx>
          <w:tblCellMar>
            <w:top w:w="0" w:type="dxa"/>
            <w:left w:w="108" w:type="dxa"/>
            <w:bottom w:w="0" w:type="dxa"/>
            <w:right w:w="108" w:type="dxa"/>
          </w:tblCellMar>
        </w:tblPrEx>
        <w:trPr>
          <w:trHeight w:val="1541"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top w:val="single" w:color="auto" w:sz="4" w:space="0"/>
              <w:left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工作要点分析及关键性技术问题的对策措施</w:t>
            </w:r>
          </w:p>
        </w:tc>
        <w:tc>
          <w:tcPr>
            <w:tcW w:w="6624" w:type="dxa"/>
            <w:tcBorders>
              <w:top w:val="single" w:color="auto" w:sz="4" w:space="0"/>
              <w:left w:val="nil"/>
              <w:right w:val="single" w:color="auto" w:sz="4" w:space="0"/>
            </w:tcBorders>
            <w:noWrap w:val="0"/>
            <w:vAlign w:val="center"/>
          </w:tcPr>
          <w:p>
            <w:pP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sz w:val="22"/>
                <w:szCs w:val="22"/>
              </w:rPr>
              <w:t>对工程要点进行分析，对项目的特点、难点、重点进行技术经济分析和提出处理措施，能够阐述关键技术问题的，对策措施科学、合理可行得</w:t>
            </w:r>
            <w:r>
              <w:rPr>
                <w:rFonts w:hint="eastAsia" w:asciiTheme="minorEastAsia" w:hAnsiTheme="minorEastAsia" w:eastAsiaTheme="minorEastAsia" w:cstheme="minorEastAsia"/>
                <w:sz w:val="22"/>
                <w:szCs w:val="22"/>
                <w:lang w:val="en-US" w:eastAsia="zh-CN"/>
              </w:rPr>
              <w:t>7</w:t>
            </w:r>
            <w:r>
              <w:rPr>
                <w:rFonts w:hint="eastAsia" w:asciiTheme="minorEastAsia" w:hAnsiTheme="minorEastAsia" w:eastAsiaTheme="minorEastAsia" w:cstheme="minorEastAsia"/>
                <w:sz w:val="22"/>
                <w:szCs w:val="22"/>
              </w:rPr>
              <w:t>分；对关键技术问题的阐述不完整、可行性一般得</w:t>
            </w:r>
            <w:r>
              <w:rPr>
                <w:rFonts w:hint="eastAsia" w:asciiTheme="minorEastAsia" w:hAnsiTheme="minorEastAsia" w:eastAsiaTheme="minorEastAsia" w:cstheme="minorEastAsia"/>
                <w:sz w:val="22"/>
                <w:szCs w:val="22"/>
                <w:lang w:val="en-US" w:eastAsia="zh-CN"/>
              </w:rPr>
              <w:t>4</w:t>
            </w:r>
            <w:r>
              <w:rPr>
                <w:rFonts w:hint="eastAsia" w:asciiTheme="minorEastAsia" w:hAnsiTheme="minorEastAsia" w:eastAsiaTheme="minorEastAsia" w:cstheme="minorEastAsia"/>
                <w:sz w:val="22"/>
                <w:szCs w:val="22"/>
              </w:rPr>
              <w:t>分，对关键技术问题的阐述有明显欠缺，可行性较差得</w:t>
            </w:r>
            <w:r>
              <w:rPr>
                <w:rFonts w:hint="eastAsia" w:asciiTheme="minorEastAsia" w:hAnsiTheme="minorEastAsia" w:eastAsiaTheme="minorEastAsia" w:cstheme="minorEastAsia"/>
                <w:sz w:val="22"/>
                <w:szCs w:val="22"/>
                <w:lang w:val="en-US" w:eastAsia="zh-CN"/>
              </w:rPr>
              <w:t>2</w:t>
            </w:r>
            <w:r>
              <w:rPr>
                <w:rFonts w:hint="eastAsia" w:asciiTheme="minorEastAsia" w:hAnsiTheme="minorEastAsia" w:eastAsiaTheme="minorEastAsia" w:cstheme="minorEastAsia"/>
                <w:sz w:val="22"/>
                <w:szCs w:val="22"/>
              </w:rPr>
              <w:t>分；未提供不得分</w:t>
            </w:r>
            <w:r>
              <w:rPr>
                <w:rFonts w:hint="eastAsia" w:asciiTheme="minorEastAsia" w:hAnsiTheme="minorEastAsia" w:eastAsiaTheme="minorEastAsia" w:cstheme="minorEastAsia"/>
                <w:sz w:val="22"/>
                <w:szCs w:val="22"/>
                <w:lang w:eastAsia="zh-CN"/>
              </w:rPr>
              <w:t>。</w:t>
            </w:r>
          </w:p>
        </w:tc>
        <w:tc>
          <w:tcPr>
            <w:tcW w:w="491" w:type="dxa"/>
            <w:tcBorders>
              <w:top w:val="single" w:color="auto" w:sz="4" w:space="0"/>
              <w:left w:val="nil"/>
              <w:bottom w:val="single" w:color="auto" w:sz="4" w:space="0"/>
              <w:right w:val="single" w:color="auto" w:sz="4" w:space="0"/>
            </w:tcBorders>
            <w:noWrap w:val="0"/>
            <w:vAlign w:val="center"/>
          </w:tcPr>
          <w:p>
            <w:pPr>
              <w:contextualSpacing/>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bCs/>
                <w:sz w:val="22"/>
                <w:szCs w:val="22"/>
                <w:lang w:val="en-US" w:eastAsia="zh-CN"/>
              </w:rPr>
              <w:t>7</w:t>
            </w:r>
          </w:p>
        </w:tc>
      </w:tr>
      <w:tr>
        <w:tblPrEx>
          <w:tblCellMar>
            <w:top w:w="0" w:type="dxa"/>
            <w:left w:w="108" w:type="dxa"/>
            <w:bottom w:w="0" w:type="dxa"/>
            <w:right w:w="108" w:type="dxa"/>
          </w:tblCellMar>
        </w:tblPrEx>
        <w:trPr>
          <w:trHeight w:val="1866"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质量及保证措施</w:t>
            </w:r>
          </w:p>
        </w:tc>
        <w:tc>
          <w:tcPr>
            <w:tcW w:w="6624" w:type="dxa"/>
            <w:tcBorders>
              <w:top w:val="single" w:color="auto" w:sz="4" w:space="0"/>
              <w:left w:val="nil"/>
              <w:bottom w:val="single" w:color="auto" w:sz="4" w:space="0"/>
              <w:right w:val="single" w:color="auto" w:sz="4" w:space="0"/>
            </w:tcBorders>
            <w:noWrap w:val="0"/>
            <w:vAlign w:val="center"/>
          </w:tcPr>
          <w:p>
            <w:pPr>
              <w:contextualSpacing/>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有质量目标承诺的得1分。未提供承诺的得0分。</w:t>
            </w:r>
          </w:p>
          <w:p>
            <w:pPr>
              <w:contextualSpacing/>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bCs/>
                <w:sz w:val="22"/>
                <w:szCs w:val="22"/>
              </w:rPr>
              <w:t>对达到项目目标提出了切实可行的措施，并对达不到目标有具体经济处罚承诺得7分；对达到项目目标提出的措施有欠缺或表述不够清晰， 并对达不到目标欠缺具体的经济处罚承诺得4分，对达到项目目标提出的措施有缺陷或表述模糊，并对达不到目标没有经济处罚承诺；得2分</w:t>
            </w:r>
            <w:r>
              <w:rPr>
                <w:rFonts w:hint="eastAsia" w:asciiTheme="minorEastAsia" w:hAnsiTheme="minorEastAsia" w:eastAsiaTheme="minorEastAsia" w:cstheme="minorEastAsia"/>
                <w:bCs/>
                <w:sz w:val="22"/>
                <w:szCs w:val="22"/>
                <w:lang w:eastAsia="zh-CN"/>
              </w:rPr>
              <w:t>。</w:t>
            </w:r>
            <w:r>
              <w:rPr>
                <w:rFonts w:hint="eastAsia" w:asciiTheme="minorEastAsia" w:hAnsiTheme="minorEastAsia" w:eastAsiaTheme="minorEastAsia" w:cstheme="minorEastAsia"/>
                <w:bCs/>
                <w:sz w:val="22"/>
                <w:szCs w:val="22"/>
              </w:rPr>
              <w:t>未提供不得分</w:t>
            </w:r>
            <w:r>
              <w:rPr>
                <w:rFonts w:hint="eastAsia" w:asciiTheme="minorEastAsia" w:hAnsiTheme="minorEastAsia" w:eastAsiaTheme="minorEastAsia" w:cstheme="minorEastAsia"/>
                <w:bCs/>
                <w:sz w:val="22"/>
                <w:szCs w:val="22"/>
                <w:lang w:eastAsia="zh-CN"/>
              </w:rPr>
              <w:t>。</w:t>
            </w:r>
          </w:p>
        </w:tc>
        <w:tc>
          <w:tcPr>
            <w:tcW w:w="491" w:type="dxa"/>
            <w:tcBorders>
              <w:top w:val="single" w:color="auto" w:sz="4" w:space="0"/>
              <w:left w:val="nil"/>
              <w:bottom w:val="single" w:color="auto" w:sz="4" w:space="0"/>
              <w:right w:val="single" w:color="auto" w:sz="4" w:space="0"/>
            </w:tcBorders>
            <w:noWrap w:val="0"/>
            <w:vAlign w:val="center"/>
          </w:tcPr>
          <w:p>
            <w:pPr>
              <w:contextualSpacing/>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Cs/>
                <w:sz w:val="22"/>
                <w:szCs w:val="22"/>
              </w:rPr>
              <w:t>8</w:t>
            </w:r>
          </w:p>
        </w:tc>
      </w:tr>
      <w:tr>
        <w:tblPrEx>
          <w:tblCellMar>
            <w:top w:w="0" w:type="dxa"/>
            <w:left w:w="108" w:type="dxa"/>
            <w:bottom w:w="0" w:type="dxa"/>
            <w:right w:w="108" w:type="dxa"/>
          </w:tblCellMar>
        </w:tblPrEx>
        <w:trPr>
          <w:trHeight w:val="689"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拟为本工程项目配置的主要设备、仪器及车辆</w:t>
            </w:r>
          </w:p>
        </w:tc>
        <w:tc>
          <w:tcPr>
            <w:tcW w:w="6624" w:type="dxa"/>
            <w:tcBorders>
              <w:top w:val="single" w:color="auto" w:sz="4" w:space="0"/>
              <w:left w:val="nil"/>
              <w:bottom w:val="single" w:color="auto" w:sz="4" w:space="0"/>
              <w:right w:val="single" w:color="auto" w:sz="4" w:space="0"/>
            </w:tcBorders>
            <w:noWrap w:val="0"/>
            <w:vAlign w:val="center"/>
          </w:tcPr>
          <w:p>
            <w:pPr>
              <w:contextualSpacing/>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对拟投入主要设备、仪器及车辆等进行综合评审（提供真实有效证明材料：租赁合同或购置发票等）：</w:t>
            </w:r>
          </w:p>
          <w:p>
            <w:pPr>
              <w:pStyle w:val="2"/>
              <w:rPr>
                <w:rFonts w:hint="eastAsia" w:asciiTheme="minorEastAsia" w:hAnsiTheme="minorEastAsia" w:eastAsiaTheme="minorEastAsia" w:cstheme="minorEastAsia"/>
                <w:sz w:val="22"/>
                <w:szCs w:val="22"/>
                <w:lang w:val="en-US" w:eastAsia="zh-CN" w:bidi="ar-SA"/>
              </w:rPr>
            </w:pPr>
            <w:r>
              <w:rPr>
                <w:rFonts w:hint="eastAsia" w:asciiTheme="minorEastAsia" w:hAnsiTheme="minorEastAsia" w:eastAsiaTheme="minorEastAsia" w:cstheme="minorEastAsia"/>
                <w:bCs/>
                <w:sz w:val="22"/>
                <w:szCs w:val="22"/>
                <w:lang w:val="en-US" w:bidi="ar-SA"/>
              </w:rPr>
              <w:t>拟投入仪器设备科学合理、可行性强且能够满足日常养护需求的得5分；拟投入仪器设备科学合理、可行性一般且对于日常养护需求有所欠缺的得3分；拟投入仪器设备不能够满足日常养护需求的得1分；未提供不得分</w:t>
            </w:r>
            <w:r>
              <w:rPr>
                <w:rFonts w:hint="eastAsia" w:asciiTheme="minorEastAsia" w:hAnsiTheme="minorEastAsia" w:eastAsiaTheme="minorEastAsia" w:cstheme="minorEastAsia"/>
                <w:bCs/>
                <w:sz w:val="22"/>
                <w:szCs w:val="22"/>
                <w:lang w:val="en-US" w:eastAsia="zh-CN" w:bidi="ar-SA"/>
              </w:rPr>
              <w:t>。</w:t>
            </w:r>
          </w:p>
        </w:tc>
        <w:tc>
          <w:tcPr>
            <w:tcW w:w="491" w:type="dxa"/>
            <w:tcBorders>
              <w:top w:val="single" w:color="auto" w:sz="4" w:space="0"/>
              <w:left w:val="nil"/>
              <w:bottom w:val="single" w:color="auto" w:sz="4" w:space="0"/>
              <w:right w:val="single" w:color="auto" w:sz="4" w:space="0"/>
            </w:tcBorders>
            <w:noWrap w:val="0"/>
            <w:vAlign w:val="center"/>
          </w:tcPr>
          <w:p>
            <w:pPr>
              <w:contextualSpacing/>
              <w:jc w:val="center"/>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5</w:t>
            </w:r>
          </w:p>
        </w:tc>
      </w:tr>
      <w:tr>
        <w:tblPrEx>
          <w:tblCellMar>
            <w:top w:w="0" w:type="dxa"/>
            <w:left w:w="108" w:type="dxa"/>
            <w:bottom w:w="0" w:type="dxa"/>
            <w:right w:w="108" w:type="dxa"/>
          </w:tblCellMar>
        </w:tblPrEx>
        <w:trPr>
          <w:trHeight w:val="77"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进度计划及保证措施</w:t>
            </w:r>
          </w:p>
        </w:tc>
        <w:tc>
          <w:tcPr>
            <w:tcW w:w="6624" w:type="dxa"/>
            <w:tcBorders>
              <w:top w:val="single" w:color="auto" w:sz="4" w:space="0"/>
              <w:left w:val="nil"/>
              <w:bottom w:val="single" w:color="auto" w:sz="4" w:space="0"/>
              <w:right w:val="single" w:color="auto" w:sz="4" w:space="0"/>
            </w:tcBorders>
            <w:noWrap w:val="0"/>
            <w:vAlign w:val="center"/>
          </w:tcPr>
          <w:p>
            <w:pPr>
              <w:contextualSpacing/>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有工期目标承诺的得1分。未提供承诺的得0分。</w:t>
            </w:r>
          </w:p>
          <w:p>
            <w:pPr>
              <w:contextualSpacing/>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结合项目需求提供进度计划：</w:t>
            </w:r>
          </w:p>
          <w:p>
            <w:pPr>
              <w:contextualSpacing/>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1.工作计划能严格按照项目时限要求，根据各环节关键间工作计划能严格按照项目时限要求，根据各环节关键间点有序推进，项目度控制科学时间节清晰合 理安排点有序推进，项目度控制科学时间节清晰合 理安排点有序推进，项目度控制科学时间节清晰合理安排理，满足采购人总体进度要求得 7分；</w:t>
            </w:r>
          </w:p>
          <w:p>
            <w:pPr>
              <w:contextualSpacing/>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2.能满足项目时限要求，根据各环节关键间点正常推进能满足项目时限要求，根据各环节关键间点正常推进能满足项目时限要求，根据各环节关键间点正常推进开展计划不清晰，得4分；</w:t>
            </w:r>
          </w:p>
          <w:p>
            <w:pPr>
              <w:contextualSpacing/>
              <w:rPr>
                <w:rFonts w:hint="eastAsia" w:asciiTheme="minorEastAsia" w:hAnsiTheme="minorEastAsia" w:eastAsiaTheme="minorEastAsia" w:cstheme="minorEastAsia"/>
                <w:bCs/>
                <w:sz w:val="22"/>
                <w:szCs w:val="22"/>
              </w:rPr>
            </w:pPr>
            <w:r>
              <w:rPr>
                <w:rFonts w:hint="eastAsia" w:asciiTheme="minorEastAsia" w:hAnsiTheme="minorEastAsia" w:eastAsiaTheme="minorEastAsia" w:cstheme="minorEastAsia"/>
                <w:bCs/>
                <w:sz w:val="22"/>
                <w:szCs w:val="22"/>
              </w:rPr>
              <w:t>3.工作开展计划未明确或不合理2分；</w:t>
            </w:r>
          </w:p>
          <w:p>
            <w:pPr>
              <w:pStyle w:val="2"/>
              <w:rPr>
                <w:rFonts w:hint="eastAsia"/>
              </w:rPr>
            </w:pPr>
            <w:r>
              <w:rPr>
                <w:rFonts w:hint="eastAsia" w:asciiTheme="minorEastAsia" w:hAnsiTheme="minorEastAsia" w:eastAsiaTheme="minorEastAsia" w:cstheme="minorEastAsia"/>
                <w:bCs/>
                <w:sz w:val="22"/>
                <w:szCs w:val="22"/>
                <w:lang w:val="en-US" w:bidi="ar-SA"/>
              </w:rPr>
              <w:t>未提供不得分</w:t>
            </w:r>
            <w:r>
              <w:rPr>
                <w:rFonts w:hint="eastAsia" w:asciiTheme="minorEastAsia" w:hAnsiTheme="minorEastAsia" w:eastAsiaTheme="minorEastAsia" w:cstheme="minorEastAsia"/>
                <w:bCs/>
                <w:sz w:val="22"/>
                <w:szCs w:val="22"/>
                <w:lang w:val="en-US" w:eastAsia="zh-CN" w:bidi="ar-SA"/>
              </w:rPr>
              <w:t>。</w:t>
            </w:r>
          </w:p>
        </w:tc>
        <w:tc>
          <w:tcPr>
            <w:tcW w:w="491" w:type="dxa"/>
            <w:tcBorders>
              <w:top w:val="single" w:color="auto" w:sz="4" w:space="0"/>
              <w:left w:val="nil"/>
              <w:bottom w:val="single" w:color="auto" w:sz="4" w:space="0"/>
              <w:right w:val="single" w:color="auto" w:sz="4" w:space="0"/>
            </w:tcBorders>
            <w:noWrap w:val="0"/>
            <w:vAlign w:val="center"/>
          </w:tcPr>
          <w:p>
            <w:pPr>
              <w:contextualSpacing/>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Cs/>
                <w:sz w:val="22"/>
                <w:szCs w:val="22"/>
              </w:rPr>
              <w:t>8</w:t>
            </w:r>
          </w:p>
        </w:tc>
      </w:tr>
      <w:tr>
        <w:tblPrEx>
          <w:tblCellMar>
            <w:top w:w="0" w:type="dxa"/>
            <w:left w:w="108" w:type="dxa"/>
            <w:bottom w:w="0" w:type="dxa"/>
            <w:right w:w="108" w:type="dxa"/>
          </w:tblCellMar>
        </w:tblPrEx>
        <w:trPr>
          <w:trHeight w:val="1147" w:hRule="atLeast"/>
          <w:jc w:val="center"/>
        </w:trPr>
        <w:tc>
          <w:tcPr>
            <w:tcW w:w="1262" w:type="dxa"/>
            <w:vMerge w:val="continue"/>
            <w:tcBorders>
              <w:left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提供优质服务的保证措施</w:t>
            </w:r>
          </w:p>
        </w:tc>
        <w:tc>
          <w:tcPr>
            <w:tcW w:w="6624" w:type="dxa"/>
            <w:tcBorders>
              <w:top w:val="single" w:color="auto" w:sz="4" w:space="0"/>
              <w:left w:val="nil"/>
              <w:bottom w:val="single" w:color="auto" w:sz="4" w:space="0"/>
              <w:right w:val="single" w:color="auto" w:sz="4" w:space="0"/>
            </w:tcBorders>
            <w:noWrap w:val="0"/>
            <w:vAlign w:val="center"/>
          </w:tcPr>
          <w:p>
            <w:pPr>
              <w:contextualSpacing/>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bCs/>
                <w:sz w:val="22"/>
                <w:szCs w:val="22"/>
              </w:rPr>
              <w:t>提供优质服务（包括后续服务）的保证措，针对各类服务要求的不同特点及性能提供个性化的服务解决方案，也可以举例论证得</w:t>
            </w:r>
            <w:r>
              <w:rPr>
                <w:rFonts w:hint="eastAsia" w:asciiTheme="minorEastAsia" w:hAnsiTheme="minorEastAsia" w:eastAsiaTheme="minorEastAsia" w:cstheme="minorEastAsia"/>
                <w:bCs/>
                <w:sz w:val="22"/>
                <w:szCs w:val="22"/>
                <w:lang w:val="en-US" w:eastAsia="zh-CN"/>
              </w:rPr>
              <w:t>6</w:t>
            </w:r>
            <w:r>
              <w:rPr>
                <w:rFonts w:hint="eastAsia" w:asciiTheme="minorEastAsia" w:hAnsiTheme="minorEastAsia" w:eastAsiaTheme="minorEastAsia" w:cstheme="minorEastAsia"/>
                <w:bCs/>
                <w:sz w:val="22"/>
                <w:szCs w:val="22"/>
              </w:rPr>
              <w:t>分；对服务的响应进行泛化一般描述，缺少针对性得</w:t>
            </w:r>
            <w:r>
              <w:rPr>
                <w:rFonts w:hint="eastAsia" w:asciiTheme="minorEastAsia" w:hAnsiTheme="minorEastAsia" w:eastAsiaTheme="minorEastAsia" w:cstheme="minorEastAsia"/>
                <w:bCs/>
                <w:sz w:val="22"/>
                <w:szCs w:val="22"/>
                <w:lang w:val="en-US" w:eastAsia="zh-CN"/>
              </w:rPr>
              <w:t>4</w:t>
            </w:r>
            <w:r>
              <w:rPr>
                <w:rFonts w:hint="eastAsia" w:asciiTheme="minorEastAsia" w:hAnsiTheme="minorEastAsia" w:eastAsiaTheme="minorEastAsia" w:cstheme="minorEastAsia"/>
                <w:bCs/>
                <w:sz w:val="22"/>
                <w:szCs w:val="22"/>
              </w:rPr>
              <w:t>分，没有对服务的响应进行描述得2分；未提供不得分</w:t>
            </w:r>
            <w:r>
              <w:rPr>
                <w:rFonts w:hint="eastAsia" w:asciiTheme="minorEastAsia" w:hAnsiTheme="minorEastAsia" w:eastAsiaTheme="minorEastAsia" w:cstheme="minorEastAsia"/>
                <w:bCs/>
                <w:sz w:val="22"/>
                <w:szCs w:val="22"/>
                <w:lang w:eastAsia="zh-CN"/>
              </w:rPr>
              <w:t>。</w:t>
            </w:r>
          </w:p>
        </w:tc>
        <w:tc>
          <w:tcPr>
            <w:tcW w:w="491" w:type="dxa"/>
            <w:tcBorders>
              <w:top w:val="single" w:color="auto" w:sz="4" w:space="0"/>
              <w:left w:val="nil"/>
              <w:bottom w:val="single" w:color="auto" w:sz="4" w:space="0"/>
              <w:right w:val="single" w:color="auto" w:sz="4" w:space="0"/>
            </w:tcBorders>
            <w:noWrap w:val="0"/>
            <w:vAlign w:val="center"/>
          </w:tcPr>
          <w:p>
            <w:pPr>
              <w:contextualSpacing/>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bCs/>
                <w:sz w:val="22"/>
                <w:szCs w:val="22"/>
                <w:lang w:val="en-US" w:eastAsia="zh-CN"/>
              </w:rPr>
              <w:t>6</w:t>
            </w:r>
          </w:p>
        </w:tc>
      </w:tr>
      <w:tr>
        <w:tblPrEx>
          <w:tblCellMar>
            <w:top w:w="0" w:type="dxa"/>
            <w:left w:w="108" w:type="dxa"/>
            <w:bottom w:w="0" w:type="dxa"/>
            <w:right w:w="108" w:type="dxa"/>
          </w:tblCellMar>
        </w:tblPrEx>
        <w:trPr>
          <w:trHeight w:val="77" w:hRule="atLeast"/>
          <w:jc w:val="center"/>
        </w:trPr>
        <w:tc>
          <w:tcPr>
            <w:tcW w:w="1262" w:type="dxa"/>
            <w:vMerge w:val="continue"/>
            <w:tcBorders>
              <w:left w:val="single" w:color="auto" w:sz="4" w:space="0"/>
              <w:bottom w:val="single" w:color="auto" w:sz="4" w:space="0"/>
              <w:right w:val="single" w:color="auto" w:sz="4" w:space="0"/>
            </w:tcBorders>
            <w:noWrap w:val="0"/>
            <w:vAlign w:val="center"/>
          </w:tcPr>
          <w:p>
            <w:pPr>
              <w:rPr>
                <w:rFonts w:hint="eastAsia" w:asciiTheme="minorEastAsia" w:hAnsiTheme="minorEastAsia" w:eastAsiaTheme="minorEastAsia" w:cstheme="minorEastAsia"/>
                <w:sz w:val="22"/>
                <w:szCs w:val="22"/>
              </w:rPr>
            </w:pPr>
          </w:p>
        </w:tc>
        <w:tc>
          <w:tcPr>
            <w:tcW w:w="122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合理化建议和优惠承诺</w:t>
            </w:r>
          </w:p>
        </w:tc>
        <w:tc>
          <w:tcPr>
            <w:tcW w:w="6624" w:type="dxa"/>
            <w:tcBorders>
              <w:top w:val="single" w:color="auto" w:sz="4" w:space="0"/>
              <w:left w:val="nil"/>
              <w:bottom w:val="single" w:color="auto" w:sz="4" w:space="0"/>
              <w:right w:val="single" w:color="auto" w:sz="4" w:space="0"/>
            </w:tcBorders>
            <w:noWrap w:val="0"/>
            <w:vAlign w:val="center"/>
          </w:tcPr>
          <w:p>
            <w:pPr>
              <w:widowControl/>
              <w:rPr>
                <w:rFonts w:hint="eastAsia" w:asciiTheme="minorEastAsia" w:hAnsiTheme="minorEastAsia" w:eastAsiaTheme="minorEastAsia" w:cstheme="minorEastAsia"/>
                <w:bCs/>
                <w:sz w:val="22"/>
                <w:szCs w:val="22"/>
                <w:lang w:eastAsia="zh-CN"/>
              </w:rPr>
            </w:pPr>
            <w:r>
              <w:rPr>
                <w:rFonts w:hint="eastAsia" w:asciiTheme="minorEastAsia" w:hAnsiTheme="minorEastAsia" w:eastAsiaTheme="minorEastAsia" w:cstheme="minorEastAsia"/>
                <w:bCs/>
                <w:sz w:val="22"/>
                <w:szCs w:val="22"/>
              </w:rPr>
              <w:t>合理化建议分析条理清晰，全面透彻措施方法科学合可 行性高的，有利于开展后期工作得6分；合理化建议分析较为全面透彻，措施方法科学基本合理可行得</w:t>
            </w:r>
            <w:r>
              <w:rPr>
                <w:rFonts w:hint="eastAsia" w:asciiTheme="minorEastAsia" w:hAnsiTheme="minorEastAsia" w:eastAsiaTheme="minorEastAsia" w:cstheme="minorEastAsia"/>
                <w:bCs/>
                <w:sz w:val="22"/>
                <w:szCs w:val="22"/>
                <w:lang w:val="en-US" w:eastAsia="zh-CN"/>
              </w:rPr>
              <w:t>4</w:t>
            </w:r>
            <w:r>
              <w:rPr>
                <w:rFonts w:hint="eastAsia" w:asciiTheme="minorEastAsia" w:hAnsiTheme="minorEastAsia" w:eastAsiaTheme="minorEastAsia" w:cstheme="minorEastAsia"/>
                <w:bCs/>
                <w:sz w:val="22"/>
                <w:szCs w:val="22"/>
              </w:rPr>
              <w:t>分；合理化建议分析合理性欠佳，措施方法科学不够可行欠佳得</w:t>
            </w:r>
            <w:r>
              <w:rPr>
                <w:rFonts w:hint="eastAsia" w:asciiTheme="minorEastAsia" w:hAnsiTheme="minorEastAsia" w:eastAsiaTheme="minorEastAsia" w:cstheme="minorEastAsia"/>
                <w:bCs/>
                <w:sz w:val="22"/>
                <w:szCs w:val="22"/>
                <w:lang w:val="en-US" w:eastAsia="zh-CN"/>
              </w:rPr>
              <w:t>2</w:t>
            </w:r>
            <w:r>
              <w:rPr>
                <w:rFonts w:hint="eastAsia" w:asciiTheme="minorEastAsia" w:hAnsiTheme="minorEastAsia" w:eastAsiaTheme="minorEastAsia" w:cstheme="minorEastAsia"/>
                <w:bCs/>
                <w:sz w:val="22"/>
                <w:szCs w:val="22"/>
              </w:rPr>
              <w:t>分；未提供不得分</w:t>
            </w:r>
            <w:r>
              <w:rPr>
                <w:rFonts w:hint="eastAsia" w:asciiTheme="minorEastAsia" w:hAnsiTheme="minorEastAsia" w:eastAsiaTheme="minorEastAsia" w:cstheme="minorEastAsia"/>
                <w:bCs/>
                <w:sz w:val="22"/>
                <w:szCs w:val="22"/>
                <w:lang w:eastAsia="zh-CN"/>
              </w:rPr>
              <w:t>。</w:t>
            </w:r>
          </w:p>
        </w:tc>
        <w:tc>
          <w:tcPr>
            <w:tcW w:w="491" w:type="dxa"/>
            <w:tcBorders>
              <w:top w:val="single" w:color="auto" w:sz="4" w:space="0"/>
              <w:left w:val="nil"/>
              <w:bottom w:val="single" w:color="auto" w:sz="4" w:space="0"/>
              <w:right w:val="single" w:color="auto" w:sz="4" w:space="0"/>
            </w:tcBorders>
            <w:noWrap w:val="0"/>
            <w:vAlign w:val="center"/>
          </w:tcPr>
          <w:p>
            <w:pPr>
              <w:contextualSpacing/>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Cs/>
                <w:sz w:val="22"/>
                <w:szCs w:val="22"/>
              </w:rPr>
              <w:t>6</w:t>
            </w:r>
          </w:p>
        </w:tc>
      </w:tr>
      <w:tr>
        <w:tblPrEx>
          <w:tblCellMar>
            <w:top w:w="0" w:type="dxa"/>
            <w:left w:w="108" w:type="dxa"/>
            <w:bottom w:w="0" w:type="dxa"/>
            <w:right w:w="108" w:type="dxa"/>
          </w:tblCellMar>
        </w:tblPrEx>
        <w:trPr>
          <w:trHeight w:val="77" w:hRule="atLeast"/>
          <w:jc w:val="center"/>
        </w:trPr>
        <w:tc>
          <w:tcPr>
            <w:tcW w:w="9604" w:type="dxa"/>
            <w:gridSpan w:val="4"/>
            <w:tcBorders>
              <w:top w:val="single" w:color="auto" w:sz="4" w:space="0"/>
              <w:left w:val="single" w:color="auto" w:sz="4" w:space="0"/>
              <w:bottom w:val="single" w:color="auto" w:sz="4" w:space="0"/>
              <w:right w:val="single" w:color="auto" w:sz="4" w:space="0"/>
            </w:tcBorders>
            <w:noWrap w:val="0"/>
            <w:vAlign w:val="center"/>
          </w:tcPr>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量化指标</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上述方案中，满足、详细、合理、可操性强指：</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（1）方案完全响应采购需求要求；</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（2）对达到项目目标提出了切实可行的措施，并对达不到目标有具体经济处罚承诺；</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（3）对项目内容作了有针对性的全面、具体分析；</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（4）提供的响应方案基于服务需求的全口径，提出了具有可行性的现状情况预判；</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（5）准确把握项目重难点，分析各类情况可能发生的不可预见性，并尽可能列明多种详细预案；</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（6）针对各类服务要求的不同特点及性能提供个性化的服务解决方案，也可以举例论证；</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（7）对于资料、数据等响应方案的支撑材料提供细致，具体，具有一定的论证支撑性及可追溯性。</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上述方案中，存在缺陷、合理、可操作性一般指：</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（1）方案响应采购需求要求有微小偏差；</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（2）对达到项目目标提出的措施有欠缺或表述不够清晰， 并对达不到目标欠缺具体的经济处罚承诺；</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（3）对项目内容分析有一定的层次性，体现项目要求。</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（4）响应方案不完整，和采购需求存在明显的响应缺项；</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（5）只对方案作出标题式的简单论证，并未展开分析或列明可行的具体解决方案；</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（6）对服务的响应进行泛化一般描述，缺少针对性；</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（7）部分资料、数据等响应方案的支撑材料提供过于简单，难于采信。</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上述方案中，不满足、不合理、无可操作性指：</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（1）方案建设响应采购需求要求但有明显欠缺；</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（2）对达到项目目标提出的措施有缺陷或表述模糊，并对达不到目标没有经济处罚承诺；</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（3）对项目内容分析没有层次性，没有体现项目要求，有明显缺陷。</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（4）响应方案不适用采购需求；</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（5）没有对方案作出标题式的论证，没有可行的具体解决方案；</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（6）没有对服务的响应进行描述；</w:t>
            </w:r>
          </w:p>
          <w:p>
            <w:pPr>
              <w:ind w:firstLine="440" w:firstLineChars="200"/>
              <w:jc w:val="lef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（7）部分资料、数据等响应方案的支撑材料没有提供。</w:t>
            </w:r>
          </w:p>
        </w:tc>
      </w:tr>
    </w:tbl>
    <w:p>
      <w:pPr>
        <w:pStyle w:val="21"/>
        <w:rPr>
          <w:rFonts w:hint="eastAsia"/>
        </w:rPr>
      </w:pPr>
    </w:p>
    <w:bookmarkEnd w:id="149"/>
    <w:bookmarkEnd w:id="150"/>
    <w:bookmarkEnd w:id="151"/>
    <w:p>
      <w:pPr>
        <w:bidi w:val="0"/>
        <w:rPr>
          <w:rFonts w:hint="eastAsia"/>
        </w:rPr>
      </w:pPr>
      <w:bookmarkStart w:id="179" w:name="_Toc13077"/>
      <w:bookmarkStart w:id="180" w:name="_Toc9019"/>
      <w:bookmarkStart w:id="181" w:name="_Toc5628_WPSOffice_Level1"/>
      <w:bookmarkStart w:id="182" w:name="_Toc477625703"/>
    </w:p>
    <w:p>
      <w:pPr>
        <w:bidi w:val="0"/>
        <w:rPr>
          <w:rFonts w:hint="eastAsia"/>
        </w:rPr>
        <w:sectPr>
          <w:headerReference r:id="rId8" w:type="default"/>
          <w:footerReference r:id="rId9" w:type="default"/>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p>
      <w:pPr>
        <w:spacing w:before="192" w:beforeLines="80" w:after="48" w:afterLines="20" w:line="336" w:lineRule="auto"/>
        <w:rPr>
          <w:rFonts w:ascii="宋体" w:hAnsi="宋体"/>
          <w:sz w:val="24"/>
        </w:rPr>
      </w:pPr>
      <w:r>
        <w:rPr>
          <w:rFonts w:hint="eastAsia" w:ascii="宋体" w:hAnsi="宋体"/>
          <w:color w:val="000000"/>
          <w:sz w:val="24"/>
        </w:rPr>
        <w:t>5.</w:t>
      </w:r>
      <w:r>
        <w:rPr>
          <w:rFonts w:ascii="宋体" w:hAnsi="宋体"/>
          <w:color w:val="000000"/>
          <w:sz w:val="24"/>
        </w:rPr>
        <w:t>3</w:t>
      </w:r>
      <w:r>
        <w:rPr>
          <w:rFonts w:hint="eastAsia" w:ascii="宋体" w:hAnsi="宋体"/>
          <w:sz w:val="24"/>
        </w:rPr>
        <w:t>成交候选人数</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3</w:t>
      </w:r>
      <w:r>
        <w:rPr>
          <w:rFonts w:hint="eastAsia" w:ascii="宋体" w:hAnsi="宋体"/>
          <w:sz w:val="24"/>
        </w:rPr>
        <w:t>.1磋商小组根据各供应商的最终得分由高到低顺序确定前三名为成交候选人。最终得分为各评委评分的算术平均值。</w:t>
      </w:r>
    </w:p>
    <w:p>
      <w:pPr>
        <w:spacing w:line="336" w:lineRule="auto"/>
        <w:rPr>
          <w:rFonts w:ascii="宋体" w:hAnsi="宋体"/>
          <w:sz w:val="24"/>
        </w:rPr>
      </w:pPr>
      <w:r>
        <w:rPr>
          <w:rFonts w:hint="eastAsia" w:ascii="宋体" w:hAnsi="宋体"/>
          <w:color w:val="000000"/>
          <w:sz w:val="24"/>
        </w:rPr>
        <w:t>5.</w:t>
      </w:r>
      <w:r>
        <w:rPr>
          <w:rFonts w:ascii="宋体" w:hAnsi="宋体"/>
          <w:color w:val="000000"/>
          <w:sz w:val="24"/>
        </w:rPr>
        <w:t>4</w:t>
      </w:r>
      <w:r>
        <w:rPr>
          <w:rFonts w:hint="eastAsia" w:ascii="宋体" w:hAnsi="宋体"/>
          <w:color w:val="000000"/>
          <w:sz w:val="24"/>
        </w:rPr>
        <w:t>定标原则</w:t>
      </w:r>
    </w:p>
    <w:p>
      <w:pPr>
        <w:widowControl/>
        <w:tabs>
          <w:tab w:val="left" w:pos="7665"/>
        </w:tabs>
        <w:spacing w:line="360" w:lineRule="auto"/>
        <w:ind w:firstLine="480" w:firstLineChars="200"/>
        <w:jc w:val="left"/>
        <w:rPr>
          <w:rFonts w:ascii="宋体" w:hAnsi="宋体" w:cs="宋体"/>
          <w:sz w:val="24"/>
        </w:rPr>
      </w:pPr>
      <w:bookmarkStart w:id="183" w:name="_Toc437874623"/>
      <w:bookmarkStart w:id="184" w:name="_Toc437290045"/>
      <w:r>
        <w:rPr>
          <w:rFonts w:hint="eastAsia" w:ascii="宋体" w:hAnsi="宋体"/>
          <w:color w:val="000000"/>
          <w:sz w:val="24"/>
        </w:rPr>
        <w:t>5.</w:t>
      </w:r>
      <w:r>
        <w:rPr>
          <w:rFonts w:ascii="宋体" w:hAnsi="宋体"/>
          <w:color w:val="000000"/>
          <w:sz w:val="24"/>
        </w:rPr>
        <w:t>4</w:t>
      </w:r>
      <w:r>
        <w:rPr>
          <w:rFonts w:hint="eastAsia" w:ascii="宋体" w:hAnsi="宋体"/>
          <w:color w:val="000000"/>
          <w:sz w:val="24"/>
        </w:rPr>
        <w:t>.1</w:t>
      </w:r>
      <w:r>
        <w:rPr>
          <w:rFonts w:hint="eastAsia" w:ascii="宋体" w:hAnsi="宋体" w:cs="宋体"/>
          <w:kern w:val="0"/>
          <w:sz w:val="24"/>
        </w:rPr>
        <w:t>由采购代理机构负责打分统计工作。对磋商小组评出的各供应商的总分，各评委评分的算术平均值作为该供应商的最终得分，分值计算时保留小数点后两位当供应商最终得分相同时，按照最后报价由低到高的顺序推荐。评审得分且最后报价相同的，按照技术指标优劣顺序推荐。</w:t>
      </w:r>
    </w:p>
    <w:p>
      <w:pPr>
        <w:spacing w:line="336" w:lineRule="auto"/>
        <w:rPr>
          <w:rFonts w:ascii="宋体" w:hAnsi="宋体"/>
          <w:color w:val="000000"/>
          <w:sz w:val="24"/>
        </w:rPr>
      </w:pPr>
      <w:r>
        <w:rPr>
          <w:rFonts w:hint="eastAsia" w:ascii="宋体" w:hAnsi="宋体"/>
          <w:color w:val="000000"/>
          <w:sz w:val="24"/>
        </w:rPr>
        <w:t>采购人将按照磋商小组推荐的中标候选人，依排名顺序依次确定中标候选人。排名第一的中标候选人放弃中标、因不可抗力提出不能履行合同或在规定的时间内因自身原因未能与采购人签订合同，采购人可以确定排名第二的中标候选人为成交供应商，依次类推。</w:t>
      </w:r>
    </w:p>
    <w:p>
      <w:pPr>
        <w:spacing w:line="336" w:lineRule="auto"/>
        <w:rPr>
          <w:rFonts w:ascii="宋体" w:hAnsi="宋体"/>
          <w:color w:val="000000"/>
          <w:sz w:val="24"/>
        </w:rPr>
      </w:pPr>
      <w:r>
        <w:rPr>
          <w:rFonts w:hint="eastAsia" w:ascii="宋体" w:hAnsi="宋体"/>
          <w:color w:val="000000"/>
          <w:sz w:val="24"/>
        </w:rPr>
        <w:t>5.</w:t>
      </w:r>
      <w:r>
        <w:rPr>
          <w:rFonts w:ascii="宋体" w:hAnsi="宋体"/>
          <w:color w:val="000000"/>
          <w:sz w:val="24"/>
        </w:rPr>
        <w:t>5</w:t>
      </w:r>
      <w:r>
        <w:rPr>
          <w:rFonts w:hint="eastAsia" w:ascii="宋体" w:hAnsi="宋体"/>
          <w:color w:val="000000"/>
          <w:sz w:val="24"/>
        </w:rPr>
        <w:t>评定纪律</w:t>
      </w:r>
      <w:bookmarkEnd w:id="183"/>
      <w:bookmarkEnd w:id="184"/>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.1磋商小组必须公平、公正评定；遵纪守法,客观、廉洁地履行职责；</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.2磋商小组在评定开始前,应关闭随身携带的各种通信工具；</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.3磋商小组在评定过程中,未经许可不得中途离开评定现场,不得迟到早退；</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.4磋商小组和工作人员不得透露评定过程中的讨论情况和评定结果。</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.5</w:t>
      </w:r>
      <w:r>
        <w:rPr>
          <w:rFonts w:hint="eastAsia" w:ascii="宋体" w:hAnsi="宋体"/>
          <w:bCs/>
          <w:sz w:val="24"/>
        </w:rPr>
        <w:t>磋商小组应当对照响应文件规定的条件和标准，对各供应商响应文件的合格性、完整性和有效性进行审查、比较和评估，其中对供应商的资格条件、主要技术标准、商务报价和其他评审要素等，评审专家应逐项进行审查、比较，不得漏评少评。</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.6</w:t>
      </w:r>
      <w:r>
        <w:rPr>
          <w:rFonts w:hint="eastAsia" w:ascii="宋体" w:hAnsi="宋体"/>
          <w:bCs/>
          <w:sz w:val="24"/>
        </w:rPr>
        <w:t>磋商小组在评定过程中不得将自己的观点,强加给其他磋商小组,磋商小组应自主发表见解,对评审意见承担个人责任。</w:t>
      </w:r>
    </w:p>
    <w:p>
      <w:pPr>
        <w:spacing w:line="336" w:lineRule="auto"/>
        <w:ind w:firstLine="480" w:firstLineChars="200"/>
        <w:rPr>
          <w:rFonts w:ascii="宋体" w:hAnsi="宋体"/>
          <w:bCs/>
          <w:sz w:val="24"/>
        </w:rPr>
      </w:pPr>
      <w:r>
        <w:rPr>
          <w:rFonts w:hint="eastAsia" w:ascii="宋体" w:hAnsi="宋体"/>
          <w:sz w:val="24"/>
        </w:rPr>
        <w:t>5.</w:t>
      </w:r>
      <w:r>
        <w:rPr>
          <w:rFonts w:ascii="宋体" w:hAnsi="宋体"/>
          <w:sz w:val="24"/>
        </w:rPr>
        <w:t>5</w:t>
      </w:r>
      <w:r>
        <w:rPr>
          <w:rFonts w:hint="eastAsia" w:ascii="宋体" w:hAnsi="宋体"/>
          <w:sz w:val="24"/>
        </w:rPr>
        <w:t>.7</w:t>
      </w:r>
      <w:r>
        <w:rPr>
          <w:rFonts w:hint="eastAsia" w:ascii="宋体" w:hAnsi="宋体"/>
          <w:bCs/>
          <w:sz w:val="24"/>
        </w:rPr>
        <w:t>磋商小组应根据评定办法确定项目得分,并参与磋商报告的起草,按评定原则推荐3名以上成交候选人，并说明推荐理由。</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.8</w:t>
      </w:r>
      <w:r>
        <w:rPr>
          <w:rFonts w:hint="eastAsia" w:ascii="宋体" w:hAnsi="宋体"/>
          <w:bCs/>
          <w:sz w:val="24"/>
        </w:rPr>
        <w:t>各评审人员应当独立、客观、公正地提出评审意见，不得带有倾向性，不得影响其他人员评审，并在磋商报告上签字；如对磋商报告有异议的，可以在报告上签署不同意见，并说明理由，否则将视为同意。</w:t>
      </w:r>
    </w:p>
    <w:p>
      <w:pPr>
        <w:spacing w:line="336" w:lineRule="auto"/>
        <w:ind w:firstLine="480" w:firstLineChars="200"/>
        <w:rPr>
          <w:rFonts w:ascii="宋体" w:hAnsi="宋体"/>
          <w:sz w:val="24"/>
        </w:rPr>
      </w:pPr>
      <w:r>
        <w:rPr>
          <w:rFonts w:hint="eastAsia" w:ascii="宋体" w:hAnsi="宋体"/>
          <w:sz w:val="24"/>
        </w:rPr>
        <w:t>5.</w:t>
      </w:r>
      <w:r>
        <w:rPr>
          <w:rFonts w:ascii="宋体" w:hAnsi="宋体"/>
          <w:sz w:val="24"/>
        </w:rPr>
        <w:t>5</w:t>
      </w:r>
      <w:r>
        <w:rPr>
          <w:rFonts w:hint="eastAsia" w:ascii="宋体" w:hAnsi="宋体"/>
          <w:sz w:val="24"/>
        </w:rPr>
        <w:t>.9评定委员会成员有如下行为之一的,责令改正,给予警告,可以并处的罚款:</w:t>
      </w:r>
    </w:p>
    <w:p>
      <w:pPr>
        <w:spacing w:line="336" w:lineRule="auto"/>
        <w:ind w:firstLine="480" w:firstLineChars="200"/>
        <w:rPr>
          <w:rFonts w:ascii="宋体" w:hAnsi="宋体"/>
          <w:sz w:val="24"/>
        </w:rPr>
      </w:pPr>
      <w:r>
        <w:rPr>
          <w:rFonts w:hint="eastAsia" w:ascii="宋体" w:hAnsi="宋体"/>
          <w:sz w:val="24"/>
        </w:rPr>
        <w:t>（1）明知应当回避而未主动回避的；</w:t>
      </w:r>
    </w:p>
    <w:p>
      <w:pPr>
        <w:spacing w:line="336" w:lineRule="auto"/>
        <w:ind w:firstLine="480" w:firstLineChars="200"/>
        <w:rPr>
          <w:rFonts w:ascii="宋体" w:hAnsi="宋体"/>
          <w:sz w:val="24"/>
        </w:rPr>
      </w:pPr>
      <w:r>
        <w:rPr>
          <w:rFonts w:hint="eastAsia" w:ascii="宋体" w:hAnsi="宋体"/>
          <w:sz w:val="24"/>
        </w:rPr>
        <w:t>（2）在知道自己为磋商小组身份后至评定结束前的时段内私下接触供应商的；</w:t>
      </w:r>
    </w:p>
    <w:p>
      <w:pPr>
        <w:spacing w:line="336" w:lineRule="auto"/>
        <w:ind w:firstLine="480" w:firstLineChars="200"/>
        <w:rPr>
          <w:rFonts w:ascii="宋体" w:hAnsi="宋体"/>
          <w:sz w:val="24"/>
        </w:rPr>
      </w:pPr>
      <w:r>
        <w:rPr>
          <w:rFonts w:hint="eastAsia" w:ascii="宋体" w:hAnsi="宋体"/>
          <w:sz w:val="24"/>
        </w:rPr>
        <w:t>（3）在评定过程中擅离职守,影响评定程序正常进行的；</w:t>
      </w:r>
    </w:p>
    <w:p>
      <w:pPr>
        <w:spacing w:line="336" w:lineRule="auto"/>
        <w:ind w:firstLine="480" w:firstLineChars="200"/>
        <w:rPr>
          <w:rFonts w:ascii="宋体" w:hAnsi="宋体"/>
          <w:sz w:val="24"/>
        </w:rPr>
      </w:pPr>
      <w:r>
        <w:rPr>
          <w:rFonts w:hint="eastAsia" w:ascii="宋体" w:hAnsi="宋体"/>
          <w:sz w:val="24"/>
        </w:rPr>
        <w:t>（4）在评定过程有明显不合理或者不正当倾向性的；</w:t>
      </w:r>
    </w:p>
    <w:p>
      <w:pPr>
        <w:spacing w:line="336" w:lineRule="auto"/>
        <w:ind w:firstLine="480" w:firstLineChars="200"/>
        <w:rPr>
          <w:rFonts w:ascii="宋体" w:hAnsi="宋体"/>
          <w:sz w:val="24"/>
        </w:rPr>
      </w:pPr>
      <w:r>
        <w:rPr>
          <w:rFonts w:hint="eastAsia" w:ascii="宋体" w:hAnsi="宋体"/>
          <w:sz w:val="24"/>
        </w:rPr>
        <w:t>（5）未按响应文件规定的评定方法和标准进行评定的；</w:t>
      </w:r>
    </w:p>
    <w:p>
      <w:pPr>
        <w:spacing w:line="336" w:lineRule="auto"/>
        <w:ind w:firstLine="480" w:firstLineChars="200"/>
        <w:rPr>
          <w:rFonts w:ascii="宋体" w:hAnsi="宋体"/>
          <w:sz w:val="24"/>
        </w:rPr>
      </w:pPr>
      <w:r>
        <w:rPr>
          <w:rFonts w:hint="eastAsia" w:ascii="宋体" w:hAnsi="宋体"/>
          <w:sz w:val="24"/>
        </w:rPr>
        <w:t>（6）上述行为影响成交结果的,成交结果无效。</w:t>
      </w:r>
    </w:p>
    <w:p>
      <w:pPr>
        <w:tabs>
          <w:tab w:val="left" w:pos="616"/>
        </w:tabs>
        <w:spacing w:line="336" w:lineRule="auto"/>
        <w:ind w:left="426"/>
        <w:rPr>
          <w:rFonts w:ascii="宋体" w:hAnsi="宋体"/>
          <w:b/>
          <w:bCs/>
          <w:color w:val="000000"/>
          <w:sz w:val="24"/>
          <w:szCs w:val="20"/>
        </w:rPr>
      </w:pPr>
      <w:r>
        <w:rPr>
          <w:rFonts w:hint="eastAsia" w:ascii="宋体" w:hAnsi="宋体"/>
          <w:b/>
          <w:bCs/>
          <w:color w:val="000000"/>
          <w:sz w:val="24"/>
          <w:szCs w:val="20"/>
        </w:rPr>
        <w:t>6、价格评议</w:t>
      </w:r>
    </w:p>
    <w:p>
      <w:pPr>
        <w:pStyle w:val="21"/>
        <w:adjustRightInd w:val="0"/>
        <w:snapToGrid w:val="0"/>
        <w:spacing w:line="336" w:lineRule="auto"/>
        <w:ind w:firstLine="424" w:firstLineChars="177"/>
        <w:rPr>
          <w:rFonts w:hAnsi="宋体"/>
          <w:bCs/>
          <w:color w:val="000000"/>
          <w:sz w:val="24"/>
          <w:szCs w:val="24"/>
        </w:rPr>
      </w:pPr>
      <w:r>
        <w:rPr>
          <w:rFonts w:hint="eastAsia" w:hAnsi="宋体"/>
          <w:bCs/>
          <w:sz w:val="24"/>
          <w:szCs w:val="24"/>
        </w:rPr>
        <w:t>评标委员会对</w:t>
      </w:r>
      <w:r>
        <w:rPr>
          <w:rFonts w:hAnsi="宋体"/>
          <w:sz w:val="24"/>
        </w:rPr>
        <w:t>初步评审</w:t>
      </w:r>
      <w:r>
        <w:rPr>
          <w:rFonts w:hint="eastAsia" w:hAnsi="宋体"/>
          <w:bCs/>
          <w:sz w:val="24"/>
          <w:szCs w:val="24"/>
        </w:rPr>
        <w:t>合格的磋商响应文件进行价格评议（</w:t>
      </w:r>
      <w:r>
        <w:rPr>
          <w:rFonts w:hint="eastAsia" w:hAnsi="宋体"/>
          <w:bCs/>
          <w:sz w:val="24"/>
          <w:lang w:val="zh-CN"/>
        </w:rPr>
        <w:t>执行国家统一定价标准和采用固定价格采购的项目，其价格不列为评审因素</w:t>
      </w:r>
      <w:r>
        <w:rPr>
          <w:rFonts w:hint="eastAsia" w:hAnsi="宋体"/>
          <w:bCs/>
          <w:sz w:val="24"/>
          <w:szCs w:val="24"/>
        </w:rPr>
        <w:t>），价格分采用低价优先法计算，即满足采购文件要求且磋商价格（落实政府采购政策进行价格调整的，以调整后的价格计算）最低的磋商报价为评标基准价，其价格分为满分。其他供应商的价格分计算详见本章“评审因素及评分标准”中的具体计算公式。</w:t>
      </w:r>
    </w:p>
    <w:p>
      <w:pPr>
        <w:spacing w:line="360" w:lineRule="auto"/>
        <w:ind w:firstLine="482" w:firstLineChars="200"/>
        <w:rPr>
          <w:rFonts w:ascii="宋体" w:hAnsi="宋体"/>
          <w:b/>
          <w:sz w:val="24"/>
        </w:rPr>
      </w:pPr>
      <w:r>
        <w:rPr>
          <w:rFonts w:hint="eastAsia" w:hAnsi="宋体"/>
          <w:b/>
          <w:sz w:val="24"/>
        </w:rPr>
        <w:t>6.1报价合理性说明：评标委员会一</w:t>
      </w:r>
      <w:r>
        <w:rPr>
          <w:rFonts w:hint="eastAsia" w:ascii="宋体" w:hAnsi="宋体"/>
          <w:b/>
          <w:sz w:val="24"/>
        </w:rPr>
        <w:t>致认为某个供应商的报价与各供应商报价的平均报价价差较大，存在明显不合理，有低于成本价或降低质量、不能诚信履行的可能，影响公平竞争时，磋商小组有权决定是否通知该供应商限期进行书面解释或提供相关证明材料。若已要求，而该供应商在规定期限内未做出解释、作出的解释不合理或不能提供证明材料的，磋商小组可拒绝该响应文件，作为无效投标处理。</w:t>
      </w:r>
    </w:p>
    <w:p>
      <w:pPr>
        <w:pStyle w:val="21"/>
        <w:adjustRightInd w:val="0"/>
        <w:snapToGrid w:val="0"/>
        <w:spacing w:line="336" w:lineRule="auto"/>
        <w:ind w:firstLine="424" w:firstLineChars="177"/>
        <w:rPr>
          <w:rFonts w:hAnsi="宋体" w:cs="Helvetica"/>
          <w:kern w:val="0"/>
          <w:sz w:val="24"/>
          <w:szCs w:val="24"/>
        </w:rPr>
      </w:pPr>
      <w:r>
        <w:rPr>
          <w:rFonts w:hAnsi="宋体" w:cs="Helvetica"/>
          <w:kern w:val="0"/>
          <w:sz w:val="24"/>
          <w:szCs w:val="24"/>
        </w:rPr>
        <w:t>评标委员会认为供应商的报价明显低于其他通过</w:t>
      </w:r>
      <w:r>
        <w:rPr>
          <w:rFonts w:hAnsi="宋体"/>
          <w:sz w:val="24"/>
        </w:rPr>
        <w:t>初步评审</w:t>
      </w:r>
      <w:r>
        <w:rPr>
          <w:rFonts w:hint="eastAsia" w:hAnsi="宋体"/>
          <w:sz w:val="24"/>
        </w:rPr>
        <w:t>合格</w:t>
      </w:r>
      <w:r>
        <w:rPr>
          <w:rFonts w:hAnsi="宋体" w:cs="Helvetica"/>
          <w:kern w:val="0"/>
          <w:sz w:val="24"/>
          <w:szCs w:val="24"/>
        </w:rPr>
        <w:t>供应商的报价，有可能影响产品</w:t>
      </w:r>
      <w:r>
        <w:rPr>
          <w:rFonts w:hint="eastAsia" w:hAnsi="宋体" w:cs="Helvetica"/>
          <w:kern w:val="0"/>
          <w:sz w:val="24"/>
          <w:szCs w:val="24"/>
        </w:rPr>
        <w:t>、服务</w:t>
      </w:r>
      <w:r>
        <w:rPr>
          <w:rFonts w:hAnsi="宋体" w:cs="Helvetica"/>
          <w:kern w:val="0"/>
          <w:sz w:val="24"/>
          <w:szCs w:val="24"/>
        </w:rPr>
        <w:t>质量或者不能诚信履约的，应当要求其在评标现场合理的时间内提供书面说明，必要时提交相关证明材料；供应商不能证明其报价合理性的，评标委员</w:t>
      </w:r>
      <w:r>
        <w:rPr>
          <w:rFonts w:hint="eastAsia" w:hAnsi="宋体" w:cs="Helvetica"/>
          <w:kern w:val="0"/>
          <w:sz w:val="24"/>
          <w:szCs w:val="24"/>
        </w:rPr>
        <w:t>应当将其作为</w:t>
      </w:r>
      <w:r>
        <w:rPr>
          <w:rFonts w:hAnsi="宋体" w:cs="Helvetica"/>
          <w:b/>
          <w:kern w:val="0"/>
          <w:sz w:val="24"/>
          <w:szCs w:val="24"/>
        </w:rPr>
        <w:t>无效投标处理</w:t>
      </w:r>
      <w:r>
        <w:rPr>
          <w:rFonts w:hAnsi="宋体" w:cs="Helvetica"/>
          <w:kern w:val="0"/>
          <w:sz w:val="24"/>
          <w:szCs w:val="24"/>
        </w:rPr>
        <w:t>。</w:t>
      </w:r>
    </w:p>
    <w:p>
      <w:pPr>
        <w:spacing w:line="336" w:lineRule="auto"/>
        <w:ind w:firstLine="361" w:firstLineChars="150"/>
        <w:rPr>
          <w:rFonts w:ascii="宋体" w:hAnsi="宋体"/>
          <w:b/>
          <w:color w:val="000000"/>
          <w:sz w:val="24"/>
        </w:rPr>
      </w:pPr>
      <w:r>
        <w:rPr>
          <w:rFonts w:hint="eastAsia" w:hAnsi="宋体"/>
          <w:b/>
          <w:color w:val="000000"/>
          <w:sz w:val="24"/>
        </w:rPr>
        <w:t>6</w:t>
      </w:r>
      <w:r>
        <w:rPr>
          <w:rFonts w:hint="eastAsia" w:ascii="宋体" w:hAnsi="宋体"/>
          <w:b/>
          <w:color w:val="000000"/>
          <w:sz w:val="24"/>
        </w:rPr>
        <w:t>.2中小企业评审优惠</w:t>
      </w:r>
      <w:r>
        <w:rPr>
          <w:rFonts w:hint="eastAsia" w:ascii="宋体" w:hAnsi="宋体"/>
          <w:b/>
          <w:color w:val="000000"/>
          <w:sz w:val="24"/>
          <w:lang w:val="en-US" w:eastAsia="zh-CN"/>
        </w:rPr>
        <w:t>10</w:t>
      </w:r>
      <w:r>
        <w:rPr>
          <w:rFonts w:hint="eastAsia" w:ascii="宋体" w:hAnsi="宋体"/>
          <w:b/>
          <w:color w:val="000000"/>
          <w:sz w:val="24"/>
        </w:rPr>
        <w:t>%</w:t>
      </w:r>
    </w:p>
    <w:p>
      <w:pPr>
        <w:spacing w:line="336" w:lineRule="auto"/>
        <w:ind w:firstLine="360" w:firstLineChars="150"/>
        <w:rPr>
          <w:rFonts w:ascii="宋体" w:hAnsi="宋体" w:cs="宋体"/>
          <w:sz w:val="24"/>
        </w:rPr>
      </w:pPr>
      <w:r>
        <w:rPr>
          <w:rFonts w:hint="eastAsia" w:ascii="宋体" w:hAnsi="宋体" w:cs="宋体"/>
          <w:sz w:val="24"/>
        </w:rPr>
        <w:t>如符合工信部联企业〔2011〕300号文中对中小企业划型标准的，需提供本单位的《中小企业声明函》（详见附件1）。经评标委员会审核，将根据财库〔2020〕46号文的相关规定在评审时对小型和微型企业提供的服务给予</w:t>
      </w:r>
      <w:r>
        <w:rPr>
          <w:rFonts w:hint="eastAsia" w:ascii="宋体" w:hAnsi="宋体" w:cs="宋体"/>
          <w:sz w:val="24"/>
          <w:lang w:val="en-US" w:eastAsia="zh-CN"/>
        </w:rPr>
        <w:t>10</w:t>
      </w:r>
      <w:r>
        <w:rPr>
          <w:rFonts w:hint="eastAsia" w:ascii="宋体" w:hAnsi="宋体" w:cs="宋体"/>
          <w:sz w:val="24"/>
        </w:rPr>
        <w:t>%的价格扣除，用扣除后的价格参与评审。</w:t>
      </w:r>
    </w:p>
    <w:p>
      <w:pPr>
        <w:spacing w:line="336" w:lineRule="auto"/>
        <w:ind w:firstLine="361" w:firstLineChars="150"/>
        <w:rPr>
          <w:rFonts w:ascii="宋体" w:hAnsi="宋体"/>
          <w:b/>
          <w:color w:val="000000"/>
          <w:sz w:val="24"/>
        </w:rPr>
      </w:pPr>
      <w:r>
        <w:rPr>
          <w:rFonts w:hint="eastAsia" w:hAnsi="宋体"/>
          <w:b/>
          <w:color w:val="000000"/>
          <w:sz w:val="24"/>
        </w:rPr>
        <w:t>6.3支持监狱企业发展评审优惠</w:t>
      </w:r>
      <w:r>
        <w:rPr>
          <w:rFonts w:hint="eastAsia" w:hAnsi="宋体"/>
          <w:b/>
          <w:color w:val="000000"/>
          <w:sz w:val="24"/>
          <w:lang w:val="en-US" w:eastAsia="zh-CN"/>
        </w:rPr>
        <w:t>10</w:t>
      </w:r>
      <w:r>
        <w:rPr>
          <w:rFonts w:hint="eastAsia" w:hAnsi="宋体"/>
          <w:b/>
          <w:color w:val="000000"/>
          <w:sz w:val="24"/>
        </w:rPr>
        <w:t>%</w:t>
      </w:r>
    </w:p>
    <w:p>
      <w:pPr>
        <w:autoSpaceDE w:val="0"/>
        <w:autoSpaceDN w:val="0"/>
        <w:adjustRightInd w:val="0"/>
        <w:spacing w:line="336" w:lineRule="auto"/>
        <w:ind w:firstLine="480" w:firstLineChars="200"/>
        <w:jc w:val="left"/>
        <w:rPr>
          <w:rFonts w:ascii="宋体" w:hAnsi="宋体" w:cs="宋体"/>
          <w:sz w:val="24"/>
          <w:szCs w:val="21"/>
        </w:rPr>
      </w:pPr>
      <w:r>
        <w:rPr>
          <w:rFonts w:hint="eastAsia" w:ascii="宋体" w:hAnsi="宋体" w:cs="宋体"/>
          <w:sz w:val="24"/>
          <w:szCs w:val="21"/>
        </w:rPr>
        <w:t>根据《关于政府采购支持监狱企业发展有关问题的通知》（财库</w:t>
      </w:r>
      <w:r>
        <w:rPr>
          <w:rFonts w:ascii="宋体" w:hAnsi="宋体" w:cs="宋体"/>
          <w:sz w:val="24"/>
          <w:szCs w:val="21"/>
        </w:rPr>
        <w:t>[2014]68</w:t>
      </w:r>
      <w:r>
        <w:rPr>
          <w:rFonts w:hint="eastAsia" w:ascii="宋体" w:hAnsi="宋体" w:cs="宋体"/>
          <w:sz w:val="24"/>
          <w:szCs w:val="21"/>
        </w:rPr>
        <w:t>号）</w:t>
      </w:r>
    </w:p>
    <w:p>
      <w:pPr>
        <w:autoSpaceDE w:val="0"/>
        <w:autoSpaceDN w:val="0"/>
        <w:adjustRightInd w:val="0"/>
        <w:spacing w:line="336" w:lineRule="auto"/>
        <w:jc w:val="left"/>
        <w:rPr>
          <w:rFonts w:ascii="宋体" w:hAnsi="宋体" w:cs="宋体"/>
          <w:sz w:val="24"/>
          <w:szCs w:val="21"/>
        </w:rPr>
      </w:pPr>
      <w:r>
        <w:rPr>
          <w:rFonts w:hint="eastAsia" w:ascii="宋体" w:hAnsi="宋体" w:cs="宋体"/>
          <w:sz w:val="24"/>
          <w:szCs w:val="21"/>
        </w:rPr>
        <w:t>文件规定。在政府采购活动中，监狱企业视同小型、微型企业，享受预留份额、评审中价格扣除等政府采购促进中小企业发展的政府采购政策。供应商如符合财库</w:t>
      </w:r>
      <w:r>
        <w:rPr>
          <w:rFonts w:ascii="宋体" w:hAnsi="宋体" w:cs="宋体"/>
          <w:sz w:val="24"/>
          <w:szCs w:val="21"/>
        </w:rPr>
        <w:t>[2014]68</w:t>
      </w:r>
      <w:r>
        <w:rPr>
          <w:rFonts w:hint="eastAsia" w:ascii="宋体" w:hAnsi="宋体" w:cs="宋体"/>
          <w:sz w:val="24"/>
          <w:szCs w:val="21"/>
        </w:rPr>
        <w:t>号文件规定的监狱企业，可按照《投标须知前附表》中相关规定，对磋商报价给予</w:t>
      </w:r>
      <w:r>
        <w:rPr>
          <w:rFonts w:hint="eastAsia" w:ascii="宋体" w:hAnsi="宋体"/>
          <w:color w:val="000000"/>
          <w:sz w:val="24"/>
          <w:lang w:val="en-US" w:eastAsia="zh-CN"/>
        </w:rPr>
        <w:t>10</w:t>
      </w:r>
      <w:r>
        <w:rPr>
          <w:rFonts w:hint="eastAsia" w:ascii="宋体" w:hAnsi="宋体"/>
          <w:color w:val="000000"/>
          <w:sz w:val="24"/>
        </w:rPr>
        <w:t>%</w:t>
      </w:r>
      <w:r>
        <w:rPr>
          <w:rFonts w:hint="eastAsia" w:ascii="宋体" w:hAnsi="宋体" w:cs="宋体"/>
          <w:sz w:val="24"/>
          <w:szCs w:val="21"/>
        </w:rPr>
        <w:t>的扣除，用扣除后的价格参与评审。如供应商符合以上文件的政策的，须提供如下证明资料：</w:t>
      </w:r>
    </w:p>
    <w:p>
      <w:pPr>
        <w:autoSpaceDE w:val="0"/>
        <w:autoSpaceDN w:val="0"/>
        <w:adjustRightInd w:val="0"/>
        <w:spacing w:line="336" w:lineRule="auto"/>
        <w:ind w:firstLine="480" w:firstLineChars="200"/>
        <w:jc w:val="left"/>
        <w:rPr>
          <w:rFonts w:ascii="宋体" w:hAnsi="宋体" w:cs="宋体"/>
          <w:sz w:val="24"/>
          <w:szCs w:val="21"/>
        </w:rPr>
      </w:pPr>
      <w:r>
        <w:rPr>
          <w:rFonts w:hint="eastAsia" w:ascii="宋体" w:hAnsi="宋体" w:cs="宋体"/>
          <w:sz w:val="24"/>
          <w:szCs w:val="21"/>
        </w:rPr>
        <w:t>供由省级以上监狱管理局、戒毒管理局</w:t>
      </w:r>
      <w:r>
        <w:rPr>
          <w:rFonts w:ascii="宋体" w:hAnsi="宋体" w:cs="宋体"/>
          <w:sz w:val="24"/>
          <w:szCs w:val="21"/>
        </w:rPr>
        <w:t>(</w:t>
      </w:r>
      <w:r>
        <w:rPr>
          <w:rFonts w:hint="eastAsia" w:ascii="宋体" w:hAnsi="宋体" w:cs="宋体"/>
          <w:sz w:val="24"/>
          <w:szCs w:val="21"/>
        </w:rPr>
        <w:t>含新疆生产建设兵团</w:t>
      </w:r>
      <w:r>
        <w:rPr>
          <w:rFonts w:ascii="宋体" w:hAnsi="宋体" w:cs="宋体"/>
          <w:sz w:val="24"/>
          <w:szCs w:val="21"/>
        </w:rPr>
        <w:t>)</w:t>
      </w:r>
      <w:r>
        <w:rPr>
          <w:rFonts w:hint="eastAsia" w:ascii="宋体" w:hAnsi="宋体" w:cs="宋体"/>
          <w:sz w:val="24"/>
          <w:szCs w:val="21"/>
        </w:rPr>
        <w:t>出具的属于监</w:t>
      </w:r>
      <w:r>
        <w:rPr>
          <w:rFonts w:hint="eastAsia" w:ascii="宋体" w:hAnsi="宋体" w:cs="宋体"/>
          <w:sz w:val="24"/>
        </w:rPr>
        <w:t>狱企业的证明文件。</w:t>
      </w:r>
    </w:p>
    <w:p>
      <w:pPr>
        <w:spacing w:line="336" w:lineRule="auto"/>
        <w:ind w:firstLine="361" w:firstLineChars="150"/>
        <w:rPr>
          <w:rFonts w:ascii="宋体" w:hAnsi="宋体"/>
          <w:b/>
          <w:color w:val="000000"/>
          <w:sz w:val="24"/>
        </w:rPr>
      </w:pPr>
      <w:r>
        <w:rPr>
          <w:rFonts w:hint="eastAsia" w:hAnsi="宋体"/>
          <w:b/>
          <w:color w:val="000000"/>
          <w:sz w:val="24"/>
        </w:rPr>
        <w:t>6.4促进残疾人就业评审优惠</w:t>
      </w:r>
      <w:r>
        <w:rPr>
          <w:rFonts w:hint="eastAsia" w:hAnsi="宋体"/>
          <w:b/>
          <w:color w:val="000000"/>
          <w:sz w:val="24"/>
          <w:lang w:val="en-US" w:eastAsia="zh-CN"/>
        </w:rPr>
        <w:t>10</w:t>
      </w:r>
      <w:r>
        <w:rPr>
          <w:rFonts w:hint="eastAsia" w:hAnsi="宋体"/>
          <w:b/>
          <w:color w:val="000000"/>
          <w:sz w:val="24"/>
        </w:rPr>
        <w:t>%</w:t>
      </w:r>
    </w:p>
    <w:p>
      <w:pPr>
        <w:autoSpaceDE w:val="0"/>
        <w:autoSpaceDN w:val="0"/>
        <w:adjustRightInd w:val="0"/>
        <w:spacing w:line="336" w:lineRule="auto"/>
        <w:ind w:firstLine="600" w:firstLineChars="250"/>
        <w:jc w:val="left"/>
        <w:rPr>
          <w:rFonts w:ascii="宋体" w:cs="宋体"/>
          <w:kern w:val="0"/>
          <w:sz w:val="24"/>
        </w:rPr>
      </w:pPr>
      <w:r>
        <w:rPr>
          <w:rFonts w:hint="eastAsia" w:ascii="宋体" w:cs="宋体"/>
          <w:kern w:val="0"/>
          <w:sz w:val="24"/>
        </w:rPr>
        <w:t>根据《三部门联合发布关于促进残疾人就业政府采购政策的通知》（财库</w:t>
      </w:r>
    </w:p>
    <w:p>
      <w:pPr>
        <w:autoSpaceDE w:val="0"/>
        <w:autoSpaceDN w:val="0"/>
        <w:adjustRightInd w:val="0"/>
        <w:spacing w:line="336" w:lineRule="auto"/>
        <w:jc w:val="left"/>
        <w:rPr>
          <w:rFonts w:ascii="宋体" w:cs="宋体"/>
          <w:kern w:val="0"/>
          <w:sz w:val="24"/>
        </w:rPr>
      </w:pPr>
      <w:r>
        <w:rPr>
          <w:rFonts w:ascii="宋体" w:cs="宋体"/>
          <w:kern w:val="0"/>
          <w:sz w:val="24"/>
        </w:rPr>
        <w:t>[2017]141</w:t>
      </w:r>
      <w:r>
        <w:rPr>
          <w:rFonts w:hint="eastAsia" w:ascii="宋体" w:cs="宋体"/>
          <w:kern w:val="0"/>
          <w:sz w:val="24"/>
        </w:rPr>
        <w:t>号）文件规定。在政府采购活动中，残疾人福利性单位视同小型、微型企业，享受预留份额、评审中价格扣除等促进中小企业发展的政府采购政策。残疾人福利性单位属于小型、微型企业的，不重复享受政策。</w:t>
      </w:r>
    </w:p>
    <w:p>
      <w:pPr>
        <w:autoSpaceDE w:val="0"/>
        <w:autoSpaceDN w:val="0"/>
        <w:adjustRightInd w:val="0"/>
        <w:spacing w:line="336" w:lineRule="auto"/>
        <w:jc w:val="left"/>
        <w:rPr>
          <w:rFonts w:ascii="宋体" w:cs="宋体"/>
          <w:kern w:val="0"/>
          <w:sz w:val="24"/>
        </w:rPr>
      </w:pPr>
      <w:r>
        <w:rPr>
          <w:rFonts w:hint="eastAsia" w:ascii="宋体" w:cs="宋体"/>
          <w:kern w:val="0"/>
          <w:sz w:val="24"/>
        </w:rPr>
        <w:t>（</w:t>
      </w:r>
      <w:r>
        <w:rPr>
          <w:rFonts w:ascii="宋体" w:cs="宋体"/>
          <w:kern w:val="0"/>
          <w:sz w:val="24"/>
        </w:rPr>
        <w:t>1</w:t>
      </w:r>
      <w:r>
        <w:rPr>
          <w:rFonts w:hint="eastAsia" w:ascii="宋体" w:cs="宋体"/>
          <w:kern w:val="0"/>
          <w:sz w:val="24"/>
        </w:rPr>
        <w:t>）供应商如符合财库</w:t>
      </w:r>
      <w:r>
        <w:rPr>
          <w:rFonts w:ascii="宋体" w:cs="宋体"/>
          <w:kern w:val="0"/>
          <w:sz w:val="24"/>
        </w:rPr>
        <w:t>[2017]141</w:t>
      </w:r>
      <w:r>
        <w:rPr>
          <w:rFonts w:hint="eastAsia" w:ascii="宋体" w:cs="宋体"/>
          <w:kern w:val="0"/>
          <w:sz w:val="24"/>
        </w:rPr>
        <w:t>号文件规定的残疾人福利性单位条件，可按照</w:t>
      </w:r>
    </w:p>
    <w:p>
      <w:pPr>
        <w:autoSpaceDE w:val="0"/>
        <w:autoSpaceDN w:val="0"/>
        <w:adjustRightInd w:val="0"/>
        <w:spacing w:line="336" w:lineRule="auto"/>
        <w:jc w:val="left"/>
        <w:rPr>
          <w:rFonts w:ascii="宋体" w:cs="宋体"/>
          <w:kern w:val="0"/>
          <w:sz w:val="24"/>
        </w:rPr>
      </w:pPr>
      <w:r>
        <w:rPr>
          <w:rFonts w:hint="eastAsia" w:ascii="宋体" w:cs="宋体"/>
          <w:kern w:val="0"/>
          <w:sz w:val="24"/>
        </w:rPr>
        <w:t>《供应商须知前附表》中相关规定，对磋商报价给予</w:t>
      </w:r>
      <w:r>
        <w:rPr>
          <w:rFonts w:hint="eastAsia" w:ascii="宋体" w:cs="宋体"/>
          <w:kern w:val="0"/>
          <w:sz w:val="24"/>
          <w:lang w:val="en-US" w:eastAsia="zh-CN"/>
        </w:rPr>
        <w:t>10</w:t>
      </w:r>
      <w:r>
        <w:rPr>
          <w:rFonts w:hint="eastAsia" w:ascii="宋体" w:cs="宋体"/>
          <w:kern w:val="0"/>
          <w:sz w:val="24"/>
        </w:rPr>
        <w:t>%的扣除，用扣除后的价格参与评审。具体扣除比例详见《投标须知前附表》。</w:t>
      </w:r>
    </w:p>
    <w:p>
      <w:pPr>
        <w:autoSpaceDE w:val="0"/>
        <w:autoSpaceDN w:val="0"/>
        <w:adjustRightInd w:val="0"/>
        <w:spacing w:line="336" w:lineRule="auto"/>
        <w:jc w:val="left"/>
        <w:rPr>
          <w:rFonts w:ascii="宋体" w:cs="宋体"/>
          <w:kern w:val="0"/>
          <w:sz w:val="24"/>
        </w:rPr>
      </w:pPr>
      <w:r>
        <w:rPr>
          <w:rFonts w:hint="eastAsia" w:ascii="宋体" w:cs="宋体"/>
          <w:kern w:val="0"/>
          <w:sz w:val="24"/>
        </w:rPr>
        <w:t>（</w:t>
      </w:r>
      <w:r>
        <w:rPr>
          <w:rFonts w:ascii="宋体" w:cs="宋体"/>
          <w:kern w:val="0"/>
          <w:sz w:val="24"/>
        </w:rPr>
        <w:t>2</w:t>
      </w:r>
      <w:r>
        <w:rPr>
          <w:rFonts w:hint="eastAsia" w:ascii="宋体" w:cs="宋体"/>
          <w:kern w:val="0"/>
          <w:sz w:val="24"/>
        </w:rPr>
        <w:t>）如供应商符合以上文件的政策的，须提供如下证明资料。</w:t>
      </w:r>
    </w:p>
    <w:p>
      <w:pPr>
        <w:autoSpaceDE w:val="0"/>
        <w:autoSpaceDN w:val="0"/>
        <w:adjustRightInd w:val="0"/>
        <w:spacing w:line="336" w:lineRule="auto"/>
        <w:ind w:firstLine="241" w:firstLineChars="100"/>
        <w:jc w:val="left"/>
        <w:rPr>
          <w:rFonts w:ascii="宋体" w:cs="宋体"/>
          <w:b/>
          <w:kern w:val="0"/>
          <w:sz w:val="24"/>
        </w:rPr>
      </w:pPr>
      <w:r>
        <w:rPr>
          <w:rFonts w:ascii="宋体" w:cs="宋体"/>
          <w:b/>
          <w:kern w:val="0"/>
          <w:sz w:val="24"/>
        </w:rPr>
        <w:t>7.</w:t>
      </w:r>
      <w:r>
        <w:rPr>
          <w:rFonts w:hint="eastAsia" w:ascii="宋体" w:cs="宋体"/>
          <w:b/>
          <w:kern w:val="0"/>
          <w:sz w:val="24"/>
        </w:rPr>
        <w:t>上述政府采购政策优惠须经评审小组评审后执行，未提供单独分项报价或证明资料不全的不给予价格扣除。</w:t>
      </w:r>
    </w:p>
    <w:p>
      <w:pPr>
        <w:pStyle w:val="3"/>
        <w:spacing w:before="240" w:after="120" w:line="360" w:lineRule="auto"/>
        <w:rPr>
          <w:rFonts w:asciiTheme="minorEastAsia" w:hAnsiTheme="minorEastAsia" w:eastAsiaTheme="minorEastAsia" w:cstheme="minorEastAsia"/>
          <w:color w:val="000000" w:themeColor="text1"/>
          <w14:textFill>
            <w14:solidFill>
              <w14:schemeClr w14:val="tx1"/>
            </w14:solidFill>
          </w14:textFill>
        </w:rPr>
        <w:sectPr>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p>
      <w:pPr>
        <w:pStyle w:val="3"/>
        <w:spacing w:before="240" w:after="120" w:line="360" w:lineRule="auto"/>
        <w:rPr>
          <w:rFonts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第六章 响应文件的格式</w:t>
      </w:r>
      <w:bookmarkEnd w:id="179"/>
      <w:bookmarkEnd w:id="180"/>
      <w:bookmarkEnd w:id="181"/>
      <w:bookmarkEnd w:id="182"/>
    </w:p>
    <w:p>
      <w:pPr>
        <w:spacing w:line="360" w:lineRule="auto"/>
        <w:rPr>
          <w:rFonts w:asciiTheme="minorEastAsia" w:hAnsiTheme="minorEastAsia" w:eastAsiaTheme="minorEastAsia" w:cstheme="minorEastAsia"/>
        </w:rPr>
      </w:pPr>
      <w:bookmarkStart w:id="185" w:name="_Toc68574771"/>
    </w:p>
    <w:p>
      <w:pPr>
        <w:autoSpaceDE w:val="0"/>
        <w:autoSpaceDN w:val="0"/>
        <w:adjustRightInd w:val="0"/>
        <w:spacing w:line="360" w:lineRule="auto"/>
        <w:rPr>
          <w:rFonts w:asciiTheme="minorEastAsia" w:hAnsiTheme="minorEastAsia" w:eastAsiaTheme="minorEastAsia" w:cstheme="minorEastAsia"/>
        </w:rPr>
      </w:pPr>
      <w:r>
        <w:rPr>
          <w:rFonts w:hint="eastAsia" w:asciiTheme="minorEastAsia" w:hAnsiTheme="minorEastAsia" w:eastAsiaTheme="minorEastAsia" w:cstheme="minorEastAsia"/>
        </w:rPr>
        <w:t>封面：</w:t>
      </w:r>
    </w:p>
    <w:p>
      <w:pPr>
        <w:autoSpaceDE w:val="0"/>
        <w:autoSpaceDN w:val="0"/>
        <w:adjustRightInd w:val="0"/>
        <w:spacing w:line="360" w:lineRule="auto"/>
        <w:rPr>
          <w:rFonts w:asciiTheme="minorEastAsia" w:hAnsiTheme="minorEastAsia" w:eastAsiaTheme="minorEastAsia" w:cstheme="minorEastAsia"/>
        </w:rPr>
      </w:pPr>
    </w:p>
    <w:p>
      <w:pPr>
        <w:autoSpaceDE w:val="0"/>
        <w:autoSpaceDN w:val="0"/>
        <w:adjustRightInd w:val="0"/>
        <w:spacing w:line="360" w:lineRule="auto"/>
        <w:rPr>
          <w:rFonts w:asciiTheme="minorEastAsia" w:hAnsiTheme="minorEastAsia" w:eastAsiaTheme="minorEastAsia" w:cstheme="minorEastAsia"/>
        </w:rPr>
      </w:pPr>
    </w:p>
    <w:p>
      <w:pPr>
        <w:autoSpaceDE w:val="0"/>
        <w:autoSpaceDN w:val="0"/>
        <w:adjustRightInd w:val="0"/>
        <w:spacing w:line="360" w:lineRule="auto"/>
        <w:rPr>
          <w:rFonts w:asciiTheme="minorEastAsia" w:hAnsiTheme="minorEastAsia" w:eastAsiaTheme="minorEastAsia" w:cstheme="minorEastAsia"/>
          <w:b/>
          <w:bCs/>
          <w:sz w:val="32"/>
          <w:szCs w:val="32"/>
        </w:rPr>
      </w:pPr>
    </w:p>
    <w:p>
      <w:pPr>
        <w:autoSpaceDE w:val="0"/>
        <w:autoSpaceDN w:val="0"/>
        <w:adjustRightInd w:val="0"/>
        <w:spacing w:line="360" w:lineRule="auto"/>
        <w:jc w:val="center"/>
        <w:rPr>
          <w:rFonts w:asciiTheme="minorEastAsia" w:hAnsiTheme="minorEastAsia" w:eastAsiaTheme="minorEastAsia" w:cstheme="minorEastAsia"/>
          <w:b/>
          <w:bCs/>
          <w:sz w:val="32"/>
          <w:szCs w:val="32"/>
        </w:rPr>
      </w:pPr>
    </w:p>
    <w:p>
      <w:pPr>
        <w:autoSpaceDE w:val="0"/>
        <w:autoSpaceDN w:val="0"/>
        <w:adjustRightInd w:val="0"/>
        <w:spacing w:line="360" w:lineRule="auto"/>
        <w:jc w:val="center"/>
        <w:outlineLvl w:val="0"/>
        <w:rPr>
          <w:rFonts w:asciiTheme="minorEastAsia" w:hAnsiTheme="minorEastAsia" w:eastAsiaTheme="minorEastAsia" w:cstheme="minorEastAsia"/>
          <w:b/>
          <w:sz w:val="84"/>
          <w:szCs w:val="84"/>
        </w:rPr>
      </w:pPr>
      <w:bookmarkStart w:id="186" w:name="_Toc14022_WPSOffice_Level1"/>
      <w:bookmarkStart w:id="187" w:name="_Toc6029"/>
      <w:bookmarkStart w:id="188" w:name="_Toc26124_WPSOffice_Level1"/>
      <w:r>
        <w:rPr>
          <w:rFonts w:hint="eastAsia" w:asciiTheme="minorEastAsia" w:hAnsiTheme="minorEastAsia" w:eastAsiaTheme="minorEastAsia" w:cstheme="minorEastAsia"/>
          <w:b/>
          <w:sz w:val="84"/>
          <w:szCs w:val="84"/>
        </w:rPr>
        <w:t>响 应 文 件</w:t>
      </w:r>
      <w:bookmarkEnd w:id="186"/>
      <w:bookmarkEnd w:id="187"/>
      <w:bookmarkEnd w:id="188"/>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jc w:val="center"/>
        <w:outlineLvl w:val="0"/>
        <w:rPr>
          <w:rFonts w:asciiTheme="minorEastAsia" w:hAnsiTheme="minorEastAsia" w:eastAsiaTheme="minorEastAsia" w:cstheme="minorEastAsia"/>
          <w:szCs w:val="21"/>
        </w:rPr>
      </w:pPr>
      <w:bookmarkStart w:id="189" w:name="_Toc16157_WPSOffice_Level1"/>
      <w:bookmarkStart w:id="190" w:name="_Toc28106"/>
      <w:bookmarkStart w:id="191" w:name="_Toc17358_WPSOffice_Level1"/>
      <w:r>
        <w:rPr>
          <w:rFonts w:hint="eastAsia" w:asciiTheme="minorEastAsia" w:hAnsiTheme="minorEastAsia" w:eastAsiaTheme="minorEastAsia" w:cstheme="minorEastAsia"/>
          <w:szCs w:val="21"/>
        </w:rPr>
        <w:t>（正本/副本）</w:t>
      </w:r>
      <w:bookmarkEnd w:id="189"/>
      <w:bookmarkEnd w:id="190"/>
      <w:bookmarkEnd w:id="191"/>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ind w:firstLine="1190" w:firstLineChars="395"/>
        <w:outlineLvl w:val="1"/>
        <w:rPr>
          <w:rFonts w:asciiTheme="minorEastAsia" w:hAnsiTheme="minorEastAsia" w:eastAsiaTheme="minorEastAsia" w:cstheme="minorEastAsia"/>
          <w:b/>
          <w:bCs/>
          <w:sz w:val="30"/>
          <w:szCs w:val="30"/>
          <w:u w:val="single"/>
        </w:rPr>
      </w:pPr>
      <w:bookmarkStart w:id="192" w:name="_Toc5548_WPSOffice_Level1"/>
      <w:bookmarkStart w:id="193" w:name="_Toc27592_WPSOffice_Level1"/>
      <w:bookmarkStart w:id="194" w:name="_Toc27410"/>
      <w:r>
        <w:rPr>
          <w:rFonts w:hint="eastAsia" w:asciiTheme="minorEastAsia" w:hAnsiTheme="minorEastAsia" w:eastAsiaTheme="minorEastAsia" w:cstheme="minorEastAsia"/>
          <w:b/>
          <w:bCs/>
          <w:sz w:val="30"/>
          <w:szCs w:val="30"/>
        </w:rPr>
        <w:t>项目编号：</w:t>
      </w:r>
      <w:bookmarkEnd w:id="192"/>
      <w:bookmarkEnd w:id="193"/>
      <w:bookmarkEnd w:id="194"/>
      <w:r>
        <w:rPr>
          <w:rFonts w:hint="eastAsia" w:asciiTheme="minorEastAsia" w:hAnsiTheme="minorEastAsia" w:eastAsiaTheme="minorEastAsia" w:cstheme="minorEastAsia"/>
          <w:b/>
          <w:bCs/>
          <w:sz w:val="30"/>
          <w:szCs w:val="30"/>
          <w:u w:val="single"/>
        </w:rPr>
        <w:t xml:space="preserve">                          </w:t>
      </w:r>
    </w:p>
    <w:p>
      <w:pPr>
        <w:tabs>
          <w:tab w:val="left" w:pos="7230"/>
        </w:tabs>
        <w:spacing w:line="360" w:lineRule="auto"/>
        <w:ind w:firstLine="1190" w:firstLineChars="395"/>
        <w:outlineLvl w:val="1"/>
        <w:rPr>
          <w:rFonts w:asciiTheme="minorEastAsia" w:hAnsiTheme="minorEastAsia" w:eastAsiaTheme="minorEastAsia" w:cstheme="minorEastAsia"/>
          <w:b/>
          <w:bCs/>
          <w:sz w:val="30"/>
          <w:szCs w:val="30"/>
          <w:u w:val="single"/>
        </w:rPr>
      </w:pPr>
      <w:bookmarkStart w:id="195" w:name="_Toc30113_WPSOffice_Level1"/>
      <w:bookmarkStart w:id="196" w:name="_Toc4722"/>
      <w:bookmarkStart w:id="197" w:name="_Toc12512_WPSOffice_Level1"/>
      <w:r>
        <w:rPr>
          <w:rFonts w:hint="eastAsia" w:asciiTheme="minorEastAsia" w:hAnsiTheme="minorEastAsia" w:eastAsiaTheme="minorEastAsia" w:cstheme="minorEastAsia"/>
          <w:b/>
          <w:bCs/>
          <w:sz w:val="30"/>
          <w:szCs w:val="30"/>
        </w:rPr>
        <w:t>项目名称：</w:t>
      </w:r>
      <w:bookmarkEnd w:id="195"/>
      <w:bookmarkEnd w:id="196"/>
      <w:bookmarkEnd w:id="197"/>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rPr>
          <w:rFonts w:asciiTheme="minorEastAsia" w:hAnsiTheme="minorEastAsia" w:eastAsiaTheme="minorEastAsia" w:cstheme="minorEastAsia"/>
          <w:szCs w:val="21"/>
        </w:rPr>
      </w:pPr>
    </w:p>
    <w:p>
      <w:pPr>
        <w:autoSpaceDE w:val="0"/>
        <w:autoSpaceDN w:val="0"/>
        <w:adjustRightInd w:val="0"/>
        <w:spacing w:line="360" w:lineRule="auto"/>
        <w:ind w:firstLine="1260" w:firstLineChars="450"/>
        <w:outlineLvl w:val="1"/>
        <w:rPr>
          <w:rFonts w:asciiTheme="minorEastAsia" w:hAnsiTheme="minorEastAsia" w:eastAsiaTheme="minorEastAsia" w:cstheme="minorEastAsia"/>
          <w:b/>
          <w:bCs/>
          <w:sz w:val="32"/>
          <w:u w:val="single"/>
        </w:rPr>
      </w:pPr>
      <w:bookmarkStart w:id="198" w:name="_Toc1643_WPSOffice_Level2"/>
      <w:bookmarkStart w:id="199" w:name="_Toc32603"/>
      <w:bookmarkStart w:id="200" w:name="_Toc18268_WPSOffice_Level2"/>
      <w:r>
        <w:rPr>
          <w:rFonts w:hint="eastAsia" w:asciiTheme="minorEastAsia" w:hAnsiTheme="minorEastAsia" w:eastAsiaTheme="minorEastAsia" w:cstheme="minorEastAsia"/>
          <w:sz w:val="28"/>
          <w:szCs w:val="28"/>
        </w:rPr>
        <w:t>磋商供应商名称：</w:t>
      </w:r>
      <w:bookmarkEnd w:id="198"/>
      <w:bookmarkEnd w:id="199"/>
      <w:bookmarkEnd w:id="200"/>
      <w:bookmarkStart w:id="201" w:name="_Toc5751"/>
      <w:bookmarkStart w:id="202" w:name="_Toc23858"/>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ind w:firstLine="1260" w:firstLineChars="450"/>
        <w:outlineLvl w:val="1"/>
        <w:rPr>
          <w:rFonts w:asciiTheme="minorEastAsia" w:hAnsiTheme="minorEastAsia" w:eastAsiaTheme="minorEastAsia" w:cstheme="minorEastAsia"/>
          <w:sz w:val="28"/>
          <w:szCs w:val="28"/>
        </w:rPr>
      </w:pPr>
      <w:bookmarkStart w:id="203" w:name="_Toc25814_WPSOffice_Level2"/>
      <w:bookmarkStart w:id="204" w:name="_Toc15308"/>
      <w:bookmarkStart w:id="205" w:name="_Toc17384_WPSOffice_Level2"/>
      <w:r>
        <w:rPr>
          <w:rFonts w:hint="eastAsia" w:asciiTheme="minorEastAsia" w:hAnsiTheme="minorEastAsia" w:eastAsiaTheme="minorEastAsia" w:cstheme="minorEastAsia"/>
          <w:sz w:val="28"/>
          <w:szCs w:val="28"/>
        </w:rPr>
        <w:t>日          期：</w:t>
      </w:r>
      <w:bookmarkEnd w:id="203"/>
      <w:bookmarkEnd w:id="204"/>
      <w:bookmarkEnd w:id="205"/>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spacing w:line="360" w:lineRule="auto"/>
        <w:ind w:firstLine="1988" w:firstLineChars="450"/>
        <w:rPr>
          <w:rFonts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br w:type="page"/>
      </w:r>
      <w:bookmarkStart w:id="206" w:name="_Toc211783342"/>
      <w:bookmarkStart w:id="207" w:name="_Toc21190_WPSOffice_Level2"/>
      <w:bookmarkStart w:id="208" w:name="_Toc360174584"/>
      <w:bookmarkStart w:id="209" w:name="_Toc14571_WPSOffice_Level2"/>
      <w:bookmarkStart w:id="210" w:name="_Toc11320441"/>
      <w:bookmarkStart w:id="211" w:name="_Toc533331084"/>
      <w:bookmarkStart w:id="212" w:name="_Toc533330957"/>
      <w:bookmarkStart w:id="213" w:name="_Toc264644272"/>
    </w:p>
    <w:p>
      <w:pPr>
        <w:pStyle w:val="4"/>
        <w:snapToGrid w:val="0"/>
        <w:spacing w:before="0" w:after="0" w:line="360" w:lineRule="auto"/>
        <w:jc w:val="center"/>
        <w:rPr>
          <w:rFonts w:ascii="宋体" w:hAnsi="宋体" w:eastAsia="宋体"/>
          <w:sz w:val="28"/>
          <w:szCs w:val="28"/>
        </w:rPr>
      </w:pPr>
      <w:bookmarkStart w:id="214" w:name="_Toc7462"/>
      <w:bookmarkStart w:id="215" w:name="_Toc24387"/>
      <w:bookmarkStart w:id="216" w:name="_Toc21901"/>
      <w:bookmarkStart w:id="217" w:name="_Toc461966526"/>
      <w:r>
        <w:rPr>
          <w:rFonts w:hint="eastAsia" w:ascii="宋体" w:hAnsi="宋体" w:eastAsia="宋体"/>
          <w:sz w:val="28"/>
          <w:szCs w:val="28"/>
        </w:rPr>
        <w:t>评审导航表</w:t>
      </w:r>
      <w:bookmarkEnd w:id="214"/>
      <w:bookmarkEnd w:id="215"/>
      <w:bookmarkEnd w:id="216"/>
      <w:bookmarkEnd w:id="217"/>
    </w:p>
    <w:p>
      <w:pPr>
        <w:spacing w:before="292" w:line="185" w:lineRule="auto"/>
        <w:ind w:firstLine="458" w:firstLineChars="227"/>
        <w:rPr>
          <w:rFonts w:ascii="宋体" w:hAnsi="宋体" w:cs="宋体"/>
          <w:sz w:val="24"/>
          <w:szCs w:val="24"/>
          <w:u w:val="single"/>
        </w:rPr>
      </w:pPr>
      <w:r>
        <w:rPr>
          <w:rFonts w:ascii="宋体" w:hAnsi="宋体" w:cs="宋体"/>
          <w:spacing w:val="-19"/>
          <w:sz w:val="24"/>
          <w:szCs w:val="24"/>
        </w:rPr>
        <w:t>项目编号：</w:t>
      </w:r>
      <w:r>
        <w:rPr>
          <w:rFonts w:ascii="宋体" w:hAnsi="宋体" w:cs="宋体"/>
          <w:spacing w:val="3"/>
          <w:sz w:val="24"/>
          <w:szCs w:val="24"/>
          <w:u w:val="single"/>
        </w:rPr>
        <w:t xml:space="preserve">                 </w:t>
      </w:r>
      <w:r>
        <w:rPr>
          <w:rFonts w:hint="eastAsia" w:ascii="宋体" w:hAnsi="宋体" w:cs="宋体"/>
          <w:spacing w:val="3"/>
          <w:sz w:val="24"/>
          <w:szCs w:val="24"/>
          <w:u w:val="single"/>
        </w:rPr>
        <w:t xml:space="preserve">     </w:t>
      </w:r>
      <w:r>
        <w:rPr>
          <w:rFonts w:hint="eastAsia" w:ascii="宋体" w:hAnsi="宋体" w:cs="宋体"/>
          <w:spacing w:val="3"/>
          <w:sz w:val="24"/>
          <w:szCs w:val="24"/>
        </w:rPr>
        <w:t xml:space="preserve">        </w:t>
      </w:r>
      <w:r>
        <w:rPr>
          <w:rFonts w:hint="eastAsia" w:ascii="宋体" w:hAnsi="宋体" w:cs="宋体"/>
          <w:spacing w:val="-19"/>
          <w:sz w:val="24"/>
          <w:szCs w:val="24"/>
        </w:rPr>
        <w:t>项目名称</w:t>
      </w:r>
      <w:r>
        <w:rPr>
          <w:rFonts w:ascii="宋体" w:hAnsi="宋体" w:cs="宋体"/>
          <w:spacing w:val="-19"/>
          <w:sz w:val="24"/>
          <w:szCs w:val="24"/>
        </w:rPr>
        <w:t>：</w:t>
      </w:r>
      <w:r>
        <w:rPr>
          <w:rFonts w:hint="eastAsia" w:ascii="宋体" w:hAnsi="宋体" w:cs="宋体"/>
          <w:spacing w:val="-19"/>
          <w:sz w:val="24"/>
          <w:szCs w:val="24"/>
          <w:u w:val="single"/>
        </w:rPr>
        <w:t xml:space="preserve">                             </w:t>
      </w:r>
      <w:r>
        <w:rPr>
          <w:rFonts w:hint="eastAsia" w:ascii="宋体" w:hAnsi="宋体" w:cs="宋体"/>
          <w:spacing w:val="-19"/>
          <w:sz w:val="24"/>
          <w:szCs w:val="24"/>
        </w:rPr>
        <w:t xml:space="preserve">                                    </w:t>
      </w:r>
    </w:p>
    <w:p>
      <w:pPr>
        <w:spacing w:line="194" w:lineRule="exact"/>
        <w:rPr>
          <w:sz w:val="24"/>
          <w:szCs w:val="24"/>
        </w:rPr>
      </w:pPr>
    </w:p>
    <w:tbl>
      <w:tblPr>
        <w:tblStyle w:val="168"/>
        <w:tblW w:w="919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8"/>
        <w:gridCol w:w="3220"/>
        <w:gridCol w:w="2754"/>
        <w:gridCol w:w="17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jc w:val="center"/>
        </w:trPr>
        <w:tc>
          <w:tcPr>
            <w:tcW w:w="1508" w:type="dxa"/>
          </w:tcPr>
          <w:p>
            <w:pPr>
              <w:spacing w:before="264" w:line="185" w:lineRule="auto"/>
              <w:ind w:firstLine="231"/>
              <w:rPr>
                <w:rFonts w:ascii="宋体" w:hAnsi="宋体" w:cs="宋体"/>
                <w:sz w:val="24"/>
                <w:szCs w:val="24"/>
              </w:rPr>
            </w:pPr>
            <w:r>
              <w:rPr>
                <w:rFonts w:ascii="宋体" w:hAnsi="宋体" w:cs="宋体"/>
                <w:spacing w:val="-2"/>
                <w:sz w:val="24"/>
                <w:szCs w:val="24"/>
              </w:rPr>
              <w:t>评审项目</w:t>
            </w:r>
          </w:p>
        </w:tc>
        <w:tc>
          <w:tcPr>
            <w:tcW w:w="3220" w:type="dxa"/>
          </w:tcPr>
          <w:p>
            <w:pPr>
              <w:spacing w:before="264" w:line="185" w:lineRule="auto"/>
              <w:ind w:firstLine="1031"/>
              <w:rPr>
                <w:rFonts w:ascii="宋体" w:hAnsi="宋体" w:cs="宋体"/>
                <w:sz w:val="24"/>
                <w:szCs w:val="24"/>
              </w:rPr>
            </w:pPr>
            <w:r>
              <w:rPr>
                <w:rFonts w:ascii="宋体" w:hAnsi="宋体" w:cs="宋体"/>
                <w:spacing w:val="-2"/>
                <w:sz w:val="24"/>
                <w:szCs w:val="24"/>
              </w:rPr>
              <w:t>评审分项</w:t>
            </w:r>
          </w:p>
        </w:tc>
        <w:tc>
          <w:tcPr>
            <w:tcW w:w="2754" w:type="dxa"/>
          </w:tcPr>
          <w:p>
            <w:pPr>
              <w:spacing w:before="264" w:line="185" w:lineRule="auto"/>
              <w:ind w:firstLine="831"/>
              <w:rPr>
                <w:rFonts w:ascii="宋体" w:hAnsi="宋体" w:cs="宋体"/>
                <w:sz w:val="24"/>
                <w:szCs w:val="24"/>
              </w:rPr>
            </w:pPr>
            <w:r>
              <w:rPr>
                <w:rFonts w:ascii="宋体" w:hAnsi="宋体" w:cs="宋体"/>
                <w:spacing w:val="-5"/>
                <w:sz w:val="24"/>
                <w:szCs w:val="24"/>
              </w:rPr>
              <w:t>响应情况</w:t>
            </w:r>
          </w:p>
        </w:tc>
        <w:tc>
          <w:tcPr>
            <w:tcW w:w="1716" w:type="dxa"/>
          </w:tcPr>
          <w:p>
            <w:pPr>
              <w:spacing w:before="33" w:line="272" w:lineRule="auto"/>
              <w:ind w:left="331" w:right="195" w:hanging="107"/>
              <w:rPr>
                <w:rFonts w:ascii="宋体" w:hAnsi="宋体" w:cs="宋体"/>
                <w:sz w:val="24"/>
                <w:szCs w:val="24"/>
              </w:rPr>
            </w:pPr>
            <w:r>
              <w:rPr>
                <w:rFonts w:ascii="宋体" w:hAnsi="宋体" w:cs="宋体"/>
                <w:spacing w:val="-4"/>
                <w:sz w:val="24"/>
                <w:szCs w:val="24"/>
              </w:rPr>
              <w:t>响应文件对</w:t>
            </w:r>
            <w:r>
              <w:rPr>
                <w:rFonts w:ascii="宋体" w:hAnsi="宋体" w:cs="宋体"/>
                <w:spacing w:val="2"/>
                <w:sz w:val="24"/>
                <w:szCs w:val="24"/>
              </w:rPr>
              <w:t xml:space="preserve"> </w:t>
            </w:r>
            <w:r>
              <w:rPr>
                <w:rFonts w:ascii="宋体" w:hAnsi="宋体" w:cs="宋体"/>
                <w:spacing w:val="-2"/>
                <w:sz w:val="24"/>
                <w:szCs w:val="24"/>
              </w:rPr>
              <w:t>应的页码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1508" w:type="dxa"/>
            <w:vMerge w:val="restart"/>
            <w:tcBorders>
              <w:bottom w:val="nil"/>
            </w:tcBorders>
          </w:tcPr>
          <w:p>
            <w:pPr>
              <w:spacing w:line="266" w:lineRule="auto"/>
              <w:rPr>
                <w:sz w:val="24"/>
                <w:szCs w:val="24"/>
              </w:rPr>
            </w:pPr>
          </w:p>
          <w:p>
            <w:pPr>
              <w:spacing w:line="266" w:lineRule="auto"/>
              <w:rPr>
                <w:sz w:val="24"/>
                <w:szCs w:val="24"/>
              </w:rPr>
            </w:pPr>
          </w:p>
          <w:p>
            <w:pPr>
              <w:spacing w:before="78" w:line="185" w:lineRule="auto"/>
              <w:ind w:firstLine="241"/>
              <w:rPr>
                <w:rFonts w:ascii="宋体" w:hAnsi="宋体" w:cs="宋体"/>
                <w:sz w:val="24"/>
                <w:szCs w:val="24"/>
              </w:rPr>
            </w:pPr>
            <w:r>
              <w:rPr>
                <w:rFonts w:ascii="宋体" w:hAnsi="宋体" w:cs="宋体"/>
                <w:spacing w:val="-3"/>
                <w:sz w:val="24"/>
                <w:szCs w:val="24"/>
              </w:rPr>
              <w:t>商务部分</w:t>
            </w: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continue"/>
            <w:tcBorders>
              <w:top w:val="nil"/>
              <w:bottom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1508" w:type="dxa"/>
            <w:vMerge w:val="continue"/>
            <w:tcBorders>
              <w:top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restart"/>
            <w:tcBorders>
              <w:bottom w:val="nil"/>
            </w:tcBorders>
          </w:tcPr>
          <w:p>
            <w:pPr>
              <w:spacing w:line="290" w:lineRule="auto"/>
              <w:rPr>
                <w:sz w:val="24"/>
                <w:szCs w:val="24"/>
              </w:rPr>
            </w:pPr>
          </w:p>
          <w:p>
            <w:pPr>
              <w:spacing w:line="291" w:lineRule="auto"/>
              <w:rPr>
                <w:sz w:val="24"/>
                <w:szCs w:val="24"/>
              </w:rPr>
            </w:pPr>
          </w:p>
          <w:p>
            <w:pPr>
              <w:spacing w:before="78" w:line="185" w:lineRule="auto"/>
              <w:ind w:firstLine="237"/>
              <w:rPr>
                <w:rFonts w:ascii="宋体" w:hAnsi="宋体" w:cs="宋体"/>
                <w:sz w:val="24"/>
                <w:szCs w:val="24"/>
              </w:rPr>
            </w:pPr>
            <w:r>
              <w:rPr>
                <w:rFonts w:ascii="宋体" w:hAnsi="宋体" w:cs="宋体"/>
                <w:spacing w:val="-2"/>
                <w:sz w:val="24"/>
                <w:szCs w:val="24"/>
              </w:rPr>
              <w:t>技术部分</w:t>
            </w: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1508" w:type="dxa"/>
            <w:vMerge w:val="continue"/>
            <w:tcBorders>
              <w:top w:val="nil"/>
              <w:bottom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508" w:type="dxa"/>
            <w:vMerge w:val="continue"/>
            <w:tcBorders>
              <w:top w:val="nil"/>
            </w:tcBorders>
          </w:tcPr>
          <w:p>
            <w:pPr>
              <w:rPr>
                <w:sz w:val="24"/>
                <w:szCs w:val="24"/>
              </w:rPr>
            </w:pPr>
          </w:p>
        </w:tc>
        <w:tc>
          <w:tcPr>
            <w:tcW w:w="3220" w:type="dxa"/>
          </w:tcPr>
          <w:p>
            <w:pPr>
              <w:rPr>
                <w:sz w:val="24"/>
                <w:szCs w:val="24"/>
              </w:rPr>
            </w:pPr>
          </w:p>
        </w:tc>
        <w:tc>
          <w:tcPr>
            <w:tcW w:w="2754" w:type="dxa"/>
          </w:tcPr>
          <w:p>
            <w:pPr>
              <w:rPr>
                <w:sz w:val="24"/>
                <w:szCs w:val="24"/>
              </w:rPr>
            </w:pPr>
          </w:p>
        </w:tc>
        <w:tc>
          <w:tcPr>
            <w:tcW w:w="1716" w:type="dxa"/>
          </w:tcPr>
          <w:p>
            <w:pPr>
              <w:rPr>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7" w:hRule="atLeast"/>
          <w:jc w:val="center"/>
        </w:trPr>
        <w:tc>
          <w:tcPr>
            <w:tcW w:w="1508" w:type="dxa"/>
          </w:tcPr>
          <w:p>
            <w:pPr>
              <w:spacing w:before="241" w:line="185" w:lineRule="auto"/>
              <w:ind w:firstLine="237"/>
              <w:rPr>
                <w:rFonts w:ascii="宋体" w:hAnsi="宋体" w:cs="宋体"/>
                <w:sz w:val="24"/>
                <w:szCs w:val="24"/>
              </w:rPr>
            </w:pPr>
            <w:r>
              <w:rPr>
                <w:rFonts w:ascii="宋体" w:hAnsi="宋体" w:cs="宋体"/>
                <w:spacing w:val="-2"/>
                <w:sz w:val="24"/>
                <w:szCs w:val="24"/>
              </w:rPr>
              <w:t>价格部分</w:t>
            </w:r>
          </w:p>
        </w:tc>
        <w:tc>
          <w:tcPr>
            <w:tcW w:w="3220" w:type="dxa"/>
          </w:tcPr>
          <w:p>
            <w:pPr>
              <w:rPr>
                <w:sz w:val="24"/>
                <w:szCs w:val="24"/>
              </w:rPr>
            </w:pPr>
          </w:p>
        </w:tc>
        <w:tc>
          <w:tcPr>
            <w:tcW w:w="2754" w:type="dxa"/>
          </w:tcPr>
          <w:p>
            <w:pPr>
              <w:spacing w:before="35" w:line="267" w:lineRule="auto"/>
              <w:ind w:left="713" w:right="124" w:hanging="572"/>
              <w:rPr>
                <w:rFonts w:ascii="宋体" w:hAnsi="宋体" w:cs="宋体"/>
                <w:sz w:val="24"/>
                <w:szCs w:val="24"/>
              </w:rPr>
            </w:pPr>
            <w:r>
              <w:rPr>
                <w:rFonts w:ascii="宋体" w:hAnsi="宋体" w:cs="宋体"/>
                <w:spacing w:val="-1"/>
                <w:sz w:val="24"/>
                <w:szCs w:val="24"/>
              </w:rPr>
              <w:t>执行政府采购政策证明材</w:t>
            </w:r>
            <w:r>
              <w:rPr>
                <w:rFonts w:ascii="宋体" w:hAnsi="宋体" w:cs="宋体"/>
                <w:spacing w:val="8"/>
                <w:sz w:val="24"/>
                <w:szCs w:val="24"/>
              </w:rPr>
              <w:t xml:space="preserve"> </w:t>
            </w:r>
            <w:r>
              <w:rPr>
                <w:rFonts w:ascii="宋体" w:hAnsi="宋体" w:cs="宋体"/>
                <w:spacing w:val="-17"/>
                <w:sz w:val="24"/>
                <w:szCs w:val="24"/>
              </w:rPr>
              <w:t>料</w:t>
            </w:r>
            <w:r>
              <w:rPr>
                <w:rFonts w:ascii="宋体" w:hAnsi="宋体" w:cs="宋体"/>
                <w:spacing w:val="-5"/>
                <w:sz w:val="24"/>
                <w:szCs w:val="24"/>
              </w:rPr>
              <w:t xml:space="preserve"> </w:t>
            </w:r>
            <w:r>
              <w:rPr>
                <w:rFonts w:ascii="宋体" w:hAnsi="宋体" w:cs="宋体"/>
                <w:spacing w:val="-17"/>
                <w:sz w:val="24"/>
                <w:szCs w:val="24"/>
              </w:rPr>
              <w:t>（如有）</w:t>
            </w:r>
          </w:p>
        </w:tc>
        <w:tc>
          <w:tcPr>
            <w:tcW w:w="1716" w:type="dxa"/>
          </w:tcPr>
          <w:p>
            <w:pPr>
              <w:rPr>
                <w:sz w:val="24"/>
                <w:szCs w:val="24"/>
              </w:rPr>
            </w:pPr>
          </w:p>
        </w:tc>
      </w:tr>
    </w:tbl>
    <w:p>
      <w:pPr>
        <w:spacing w:before="33" w:line="359" w:lineRule="auto"/>
        <w:ind w:left="562" w:hanging="563"/>
        <w:rPr>
          <w:rFonts w:ascii="宋体" w:hAnsi="宋体" w:cs="宋体"/>
          <w:sz w:val="24"/>
          <w:szCs w:val="24"/>
        </w:rPr>
      </w:pPr>
      <w:r>
        <w:rPr>
          <w:rFonts w:ascii="宋体" w:hAnsi="宋体" w:cs="宋体"/>
          <w:spacing w:val="-14"/>
          <w:sz w:val="24"/>
          <w:szCs w:val="24"/>
        </w:rPr>
        <w:t>特别说明：为方便</w:t>
      </w:r>
      <w:r>
        <w:rPr>
          <w:rFonts w:hint="eastAsia" w:ascii="宋体" w:hAnsi="宋体" w:cs="宋体"/>
          <w:spacing w:val="-14"/>
          <w:sz w:val="24"/>
          <w:szCs w:val="24"/>
        </w:rPr>
        <w:t>评审</w:t>
      </w:r>
      <w:r>
        <w:rPr>
          <w:rFonts w:ascii="宋体" w:hAnsi="宋体" w:cs="宋体"/>
          <w:spacing w:val="-14"/>
          <w:sz w:val="24"/>
          <w:szCs w:val="24"/>
        </w:rPr>
        <w:t>小组评审，供应商可根据</w:t>
      </w:r>
      <w:r>
        <w:rPr>
          <w:rFonts w:hint="eastAsia" w:ascii="宋体" w:hAnsi="宋体" w:cs="宋体"/>
          <w:spacing w:val="-14"/>
          <w:sz w:val="24"/>
          <w:szCs w:val="24"/>
          <w:lang w:eastAsia="zh-CN"/>
        </w:rPr>
        <w:t>磋商</w:t>
      </w:r>
      <w:r>
        <w:rPr>
          <w:rFonts w:ascii="宋体" w:hAnsi="宋体" w:cs="宋体"/>
          <w:spacing w:val="-14"/>
          <w:sz w:val="24"/>
          <w:szCs w:val="24"/>
        </w:rPr>
        <w:t>文件中载明的《评审标准》，将具体响应情况及</w:t>
      </w:r>
      <w:r>
        <w:rPr>
          <w:rFonts w:ascii="宋体" w:hAnsi="宋体" w:cs="宋体"/>
          <w:sz w:val="24"/>
          <w:szCs w:val="24"/>
        </w:rPr>
        <w:t xml:space="preserve"> </w:t>
      </w:r>
      <w:r>
        <w:rPr>
          <w:rFonts w:ascii="宋体" w:hAnsi="宋体" w:cs="宋体"/>
          <w:spacing w:val="-8"/>
          <w:sz w:val="24"/>
          <w:szCs w:val="24"/>
        </w:rPr>
        <w:t>供应商文件中对应页码在上表中注明。未提供页码或内容页码完全不一致的，导致的后果由供</w:t>
      </w:r>
      <w:r>
        <w:rPr>
          <w:rFonts w:ascii="宋体" w:hAnsi="宋体" w:cs="宋体"/>
          <w:spacing w:val="-3"/>
          <w:sz w:val="24"/>
          <w:szCs w:val="24"/>
        </w:rPr>
        <w:t>应商自行承担。</w:t>
      </w:r>
    </w:p>
    <w:p>
      <w:pPr>
        <w:autoSpaceDE w:val="0"/>
        <w:autoSpaceDN w:val="0"/>
        <w:adjustRightInd w:val="0"/>
        <w:spacing w:line="360" w:lineRule="auto"/>
        <w:ind w:firstLine="1988" w:firstLineChars="450"/>
        <w:rPr>
          <w:rFonts w:asciiTheme="minorEastAsia" w:hAnsiTheme="minorEastAsia" w:eastAsiaTheme="minorEastAsia" w:cstheme="minorEastAsia"/>
          <w:b/>
          <w:sz w:val="44"/>
          <w:szCs w:val="44"/>
        </w:rPr>
      </w:pPr>
    </w:p>
    <w:p>
      <w:pPr>
        <w:autoSpaceDE w:val="0"/>
        <w:autoSpaceDN w:val="0"/>
        <w:adjustRightInd w:val="0"/>
        <w:spacing w:line="360" w:lineRule="auto"/>
        <w:ind w:firstLine="1084" w:firstLineChars="450"/>
        <w:rPr>
          <w:rFonts w:asciiTheme="minorEastAsia" w:hAnsiTheme="minorEastAsia" w:eastAsiaTheme="minorEastAsia" w:cstheme="minorEastAsia"/>
          <w:b/>
          <w:bCs/>
          <w:sz w:val="24"/>
        </w:rPr>
        <w:sectPr>
          <w:pgSz w:w="11906" w:h="16838"/>
          <w:pgMar w:top="1418" w:right="1588" w:bottom="1247" w:left="1588" w:header="851" w:footer="992" w:gutter="0"/>
          <w:pgBorders>
            <w:top w:val="none" w:sz="0" w:space="0"/>
            <w:left w:val="none" w:sz="0" w:space="0"/>
            <w:bottom w:val="none" w:sz="0" w:space="0"/>
            <w:right w:val="none" w:sz="0" w:space="0"/>
          </w:pgBorders>
          <w:cols w:space="720" w:num="1"/>
          <w:docGrid w:linePitch="312" w:charSpace="0"/>
        </w:sectPr>
      </w:pPr>
    </w:p>
    <w:bookmarkEnd w:id="185"/>
    <w:bookmarkEnd w:id="201"/>
    <w:bookmarkEnd w:id="202"/>
    <w:bookmarkEnd w:id="206"/>
    <w:bookmarkEnd w:id="207"/>
    <w:bookmarkEnd w:id="208"/>
    <w:bookmarkEnd w:id="209"/>
    <w:bookmarkEnd w:id="210"/>
    <w:bookmarkEnd w:id="211"/>
    <w:bookmarkEnd w:id="212"/>
    <w:bookmarkEnd w:id="213"/>
    <w:p>
      <w:pPr>
        <w:pStyle w:val="4"/>
      </w:pPr>
      <w:bookmarkStart w:id="218" w:name="_Toc12799"/>
      <w:bookmarkStart w:id="219" w:name="_Toc20854"/>
      <w:bookmarkStart w:id="220" w:name="_Toc461966527"/>
      <w:bookmarkStart w:id="221" w:name="_Toc4077"/>
      <w:r>
        <w:rPr>
          <w:rFonts w:hint="eastAsia"/>
        </w:rPr>
        <w:t>一、封面及目录</w:t>
      </w:r>
      <w:bookmarkEnd w:id="218"/>
      <w:bookmarkEnd w:id="219"/>
      <w:bookmarkEnd w:id="220"/>
      <w:bookmarkEnd w:id="221"/>
    </w:p>
    <w:p>
      <w:pPr>
        <w:pStyle w:val="2"/>
        <w:spacing w:line="560" w:lineRule="exact"/>
        <w:rPr>
          <w:rFonts w:ascii="宋体" w:hAnsi="宋体"/>
        </w:rPr>
      </w:pPr>
      <w:r>
        <w:rPr>
          <w:rFonts w:hint="eastAsia" w:ascii="宋体" w:hAnsi="宋体"/>
        </w:rPr>
        <w:t>1．封面上应注明项目编号、项目名称、招标人及</w:t>
      </w:r>
      <w:r>
        <w:rPr>
          <w:rFonts w:hint="eastAsia" w:ascii="宋体" w:hAnsi="宋体"/>
          <w:lang w:eastAsia="zh-CN"/>
        </w:rPr>
        <w:t>供应商</w:t>
      </w:r>
      <w:r>
        <w:rPr>
          <w:rFonts w:hint="eastAsia" w:ascii="宋体" w:hAnsi="宋体"/>
        </w:rPr>
        <w:t>名称等。</w:t>
      </w:r>
    </w:p>
    <w:p>
      <w:pPr>
        <w:pStyle w:val="2"/>
        <w:spacing w:line="560" w:lineRule="exact"/>
        <w:rPr>
          <w:rFonts w:ascii="宋体" w:hAnsi="宋体"/>
        </w:rPr>
      </w:pPr>
      <w:r>
        <w:rPr>
          <w:rFonts w:hint="eastAsia" w:ascii="宋体" w:hAnsi="宋体"/>
        </w:rPr>
        <w:t>2．应有文件目录和页码编号,</w:t>
      </w:r>
      <w:r>
        <w:rPr>
          <w:rFonts w:hint="eastAsia"/>
        </w:rPr>
        <w:t xml:space="preserve"> </w:t>
      </w:r>
      <w:r>
        <w:rPr>
          <w:rFonts w:hint="eastAsia" w:ascii="宋体" w:hAnsi="宋体"/>
        </w:rPr>
        <w:t>目录与页码一致，页码连续，目录详细，便于查找。</w:t>
      </w:r>
    </w:p>
    <w:p>
      <w:pPr>
        <w:pStyle w:val="2"/>
        <w:spacing w:line="560" w:lineRule="exact"/>
        <w:rPr>
          <w:rFonts w:ascii="宋体" w:hAnsi="宋体"/>
        </w:rPr>
      </w:pPr>
    </w:p>
    <w:p>
      <w:pPr>
        <w:pStyle w:val="2"/>
        <w:spacing w:line="560" w:lineRule="exact"/>
        <w:rPr>
          <w:rFonts w:ascii="宋体" w:hAnsi="宋体"/>
        </w:rPr>
      </w:pPr>
    </w:p>
    <w:p>
      <w:pPr>
        <w:pStyle w:val="2"/>
        <w:spacing w:line="560" w:lineRule="exact"/>
        <w:rPr>
          <w:rFonts w:ascii="宋体" w:hAnsi="宋体"/>
        </w:rPr>
      </w:pPr>
    </w:p>
    <w:p>
      <w:pPr>
        <w:pStyle w:val="2"/>
        <w:spacing w:line="560" w:lineRule="exact"/>
        <w:rPr>
          <w:rFonts w:ascii="宋体" w:hAnsi="宋体"/>
        </w:rPr>
      </w:pPr>
    </w:p>
    <w:p>
      <w:pPr>
        <w:pStyle w:val="2"/>
        <w:spacing w:line="560" w:lineRule="exact"/>
        <w:rPr>
          <w:rFonts w:ascii="宋体" w:hAnsi="宋体"/>
        </w:rPr>
      </w:pPr>
    </w:p>
    <w:p>
      <w:pPr>
        <w:pStyle w:val="2"/>
        <w:spacing w:line="560" w:lineRule="exact"/>
        <w:rPr>
          <w:rFonts w:ascii="宋体" w:hAnsi="宋体"/>
        </w:rPr>
      </w:pPr>
    </w:p>
    <w:p>
      <w:pPr>
        <w:pStyle w:val="2"/>
        <w:spacing w:line="560" w:lineRule="exact"/>
        <w:rPr>
          <w:rFonts w:ascii="宋体" w:hAnsi="宋体"/>
        </w:rPr>
      </w:pPr>
    </w:p>
    <w:p>
      <w:pPr>
        <w:pStyle w:val="2"/>
        <w:spacing w:line="560" w:lineRule="exact"/>
        <w:rPr>
          <w:rFonts w:ascii="宋体" w:hAnsi="宋体"/>
        </w:rPr>
      </w:pPr>
    </w:p>
    <w:p>
      <w:pPr>
        <w:pStyle w:val="2"/>
        <w:spacing w:line="560" w:lineRule="exact"/>
        <w:rPr>
          <w:rFonts w:ascii="宋体" w:hAnsi="宋体"/>
        </w:rPr>
      </w:pPr>
    </w:p>
    <w:p>
      <w:pPr>
        <w:pStyle w:val="2"/>
        <w:spacing w:line="560" w:lineRule="exact"/>
        <w:rPr>
          <w:rFonts w:ascii="宋体" w:hAnsi="宋体"/>
        </w:rPr>
      </w:pPr>
    </w:p>
    <w:p>
      <w:pPr>
        <w:pStyle w:val="4"/>
      </w:pPr>
      <w:bookmarkStart w:id="222" w:name="_Toc120411848"/>
      <w:bookmarkStart w:id="223" w:name="_Toc387154588"/>
      <w:r>
        <w:br w:type="page"/>
      </w:r>
      <w:bookmarkStart w:id="224" w:name="_Toc29949"/>
      <w:bookmarkStart w:id="225" w:name="_Toc6682"/>
      <w:bookmarkStart w:id="226" w:name="_Toc461966528"/>
      <w:bookmarkStart w:id="227" w:name="_Toc31854"/>
      <w:r>
        <w:rPr>
          <w:rFonts w:hint="eastAsia"/>
        </w:rPr>
        <w:t>二、磋商函</w:t>
      </w:r>
      <w:bookmarkEnd w:id="222"/>
      <w:r>
        <w:rPr>
          <w:rFonts w:hint="eastAsia"/>
        </w:rPr>
        <w:t>及价格部分</w:t>
      </w:r>
      <w:bookmarkEnd w:id="223"/>
      <w:bookmarkEnd w:id="224"/>
      <w:bookmarkEnd w:id="225"/>
      <w:bookmarkEnd w:id="226"/>
      <w:bookmarkEnd w:id="227"/>
    </w:p>
    <w:p>
      <w:pPr>
        <w:spacing w:before="58"/>
        <w:jc w:val="center"/>
        <w:outlineLvl w:val="1"/>
        <w:rPr>
          <w:rFonts w:hint="eastAsia" w:asciiTheme="minorEastAsia" w:hAnsiTheme="minorEastAsia" w:eastAsiaTheme="minorEastAsia" w:cstheme="minorEastAsia"/>
          <w:b/>
          <w:sz w:val="30"/>
        </w:rPr>
      </w:pPr>
      <w:bookmarkStart w:id="228" w:name="_Toc3165"/>
      <w:bookmarkStart w:id="229" w:name="_Toc387154589"/>
      <w:bookmarkStart w:id="230" w:name="_Toc27663"/>
      <w:bookmarkStart w:id="231" w:name="_Toc461966529"/>
      <w:bookmarkStart w:id="232" w:name="_Toc8840"/>
      <w:r>
        <w:rPr>
          <w:rFonts w:hint="eastAsia" w:asciiTheme="minorEastAsia" w:hAnsiTheme="minorEastAsia" w:eastAsiaTheme="minorEastAsia" w:cstheme="minorEastAsia"/>
          <w:b/>
          <w:sz w:val="30"/>
        </w:rPr>
        <w:t>（一）磋商函</w:t>
      </w:r>
      <w:bookmarkEnd w:id="228"/>
      <w:bookmarkEnd w:id="229"/>
      <w:bookmarkEnd w:id="230"/>
      <w:bookmarkEnd w:id="231"/>
      <w:bookmarkEnd w:id="232"/>
    </w:p>
    <w:p>
      <w:pPr>
        <w:spacing w:line="560" w:lineRule="exact"/>
        <w:rPr>
          <w:rFonts w:ascii="宋体" w:hAnsi="宋体" w:cs="Arial"/>
          <w:sz w:val="24"/>
          <w:u w:val="single"/>
        </w:rPr>
      </w:pPr>
      <w:r>
        <w:rPr>
          <w:rFonts w:ascii="宋体" w:hAnsi="宋体" w:cs="Arial"/>
          <w:sz w:val="24"/>
        </w:rPr>
        <w:t>致：</w:t>
      </w:r>
      <w:r>
        <w:rPr>
          <w:rFonts w:ascii="宋体" w:hAnsi="宋体" w:cs="Arial"/>
          <w:i/>
          <w:iCs/>
          <w:sz w:val="24"/>
          <w:u w:val="single"/>
        </w:rPr>
        <w:t>（</w:t>
      </w:r>
      <w:r>
        <w:rPr>
          <w:rFonts w:hint="eastAsia" w:ascii="宋体" w:hAnsi="宋体" w:cs="Arial"/>
          <w:i/>
          <w:iCs/>
          <w:sz w:val="24"/>
          <w:u w:val="single"/>
        </w:rPr>
        <w:t>招标</w:t>
      </w:r>
      <w:r>
        <w:rPr>
          <w:rFonts w:ascii="宋体" w:hAnsi="宋体" w:cs="Arial"/>
          <w:i/>
          <w:iCs/>
          <w:sz w:val="24"/>
          <w:u w:val="single"/>
        </w:rPr>
        <w:t>代理机构和</w:t>
      </w:r>
      <w:r>
        <w:rPr>
          <w:rFonts w:hint="eastAsia" w:ascii="宋体" w:hAnsi="宋体" w:cs="Arial"/>
          <w:i/>
          <w:iCs/>
          <w:sz w:val="24"/>
          <w:u w:val="single"/>
        </w:rPr>
        <w:t>招标人</w:t>
      </w:r>
      <w:r>
        <w:rPr>
          <w:rFonts w:ascii="宋体" w:hAnsi="宋体" w:cs="Arial"/>
          <w:i/>
          <w:iCs/>
          <w:sz w:val="24"/>
          <w:u w:val="single"/>
        </w:rPr>
        <w:t>）</w:t>
      </w:r>
    </w:p>
    <w:p>
      <w:pPr>
        <w:spacing w:line="560" w:lineRule="exact"/>
        <w:ind w:firstLine="480" w:firstLineChars="200"/>
        <w:rPr>
          <w:rFonts w:ascii="宋体" w:hAnsi="宋体" w:cs="Arial"/>
          <w:sz w:val="24"/>
        </w:rPr>
      </w:pPr>
      <w:r>
        <w:rPr>
          <w:rFonts w:ascii="宋体" w:hAnsi="宋体" w:cs="Arial"/>
          <w:sz w:val="24"/>
        </w:rPr>
        <w:t>根据贵方为</w:t>
      </w:r>
      <w:r>
        <w:rPr>
          <w:rFonts w:hint="eastAsia" w:ascii="宋体" w:hAnsi="宋体" w:cs="Arial"/>
          <w:sz w:val="24"/>
          <w:u w:val="single"/>
        </w:rPr>
        <w:t xml:space="preserve"> （项目名称、包段号） </w:t>
      </w:r>
      <w:r>
        <w:rPr>
          <w:rFonts w:hint="eastAsia" w:ascii="宋体" w:hAnsi="宋体" w:cs="Arial"/>
          <w:sz w:val="24"/>
        </w:rPr>
        <w:t>招标</w:t>
      </w:r>
      <w:r>
        <w:rPr>
          <w:rFonts w:ascii="宋体" w:hAnsi="宋体" w:cs="Arial"/>
          <w:sz w:val="24"/>
        </w:rPr>
        <w:t>的投标邀请</w:t>
      </w:r>
      <w:r>
        <w:rPr>
          <w:rFonts w:ascii="宋体" w:hAnsi="宋体" w:cs="Arial"/>
          <w:i/>
          <w:iCs/>
          <w:sz w:val="24"/>
          <w:u w:val="single"/>
        </w:rPr>
        <w:t>（</w:t>
      </w:r>
      <w:r>
        <w:rPr>
          <w:rFonts w:hint="eastAsia" w:ascii="宋体" w:hAnsi="宋体" w:cs="Arial"/>
          <w:i/>
          <w:iCs/>
          <w:sz w:val="24"/>
          <w:u w:val="single"/>
        </w:rPr>
        <w:t>项目</w:t>
      </w:r>
      <w:r>
        <w:rPr>
          <w:rFonts w:ascii="宋体" w:hAnsi="宋体" w:cs="Arial"/>
          <w:i/>
          <w:iCs/>
          <w:sz w:val="24"/>
          <w:u w:val="single"/>
        </w:rPr>
        <w:t>编号：</w:t>
      </w:r>
      <w:r>
        <w:rPr>
          <w:rFonts w:ascii="宋体" w:hAnsi="宋体" w:cs="Arial"/>
          <w:sz w:val="24"/>
          <w:u w:val="single"/>
        </w:rPr>
        <w:t xml:space="preserve">   </w:t>
      </w:r>
      <w:r>
        <w:rPr>
          <w:rFonts w:hint="eastAsia" w:ascii="宋体" w:hAnsi="宋体" w:cs="Arial"/>
          <w:sz w:val="24"/>
          <w:u w:val="single"/>
        </w:rPr>
        <w:t xml:space="preserve">   </w:t>
      </w:r>
      <w:r>
        <w:rPr>
          <w:rFonts w:ascii="宋体" w:hAnsi="宋体" w:cs="Arial"/>
          <w:sz w:val="24"/>
          <w:u w:val="single"/>
        </w:rPr>
        <w:t xml:space="preserve">  </w:t>
      </w:r>
      <w:r>
        <w:rPr>
          <w:rFonts w:ascii="宋体" w:hAnsi="宋体" w:cs="Arial"/>
          <w:i/>
          <w:iCs/>
          <w:sz w:val="24"/>
          <w:u w:val="single"/>
        </w:rPr>
        <w:t>）</w:t>
      </w:r>
      <w:r>
        <w:rPr>
          <w:rFonts w:ascii="宋体" w:hAnsi="宋体" w:cs="Arial"/>
          <w:sz w:val="24"/>
        </w:rPr>
        <w:t>，签字代表</w:t>
      </w:r>
      <w:r>
        <w:rPr>
          <w:rFonts w:ascii="宋体" w:hAnsi="宋体" w:cs="Arial"/>
          <w:i/>
          <w:iCs/>
          <w:sz w:val="24"/>
          <w:u w:val="single"/>
        </w:rPr>
        <w:t>（姓名、职务）</w:t>
      </w:r>
      <w:r>
        <w:rPr>
          <w:rFonts w:ascii="宋体" w:hAnsi="宋体" w:cs="Arial"/>
          <w:sz w:val="24"/>
        </w:rPr>
        <w:t>经正式授权并代表</w:t>
      </w:r>
      <w:r>
        <w:rPr>
          <w:rFonts w:hint="eastAsia" w:ascii="宋体" w:hAnsi="宋体" w:cs="Arial"/>
          <w:sz w:val="24"/>
          <w:lang w:eastAsia="zh-CN"/>
        </w:rPr>
        <w:t>供应商</w:t>
      </w:r>
      <w:r>
        <w:rPr>
          <w:rFonts w:ascii="宋体" w:hAnsi="宋体" w:cs="Arial"/>
          <w:i/>
          <w:iCs/>
          <w:sz w:val="24"/>
          <w:u w:val="single"/>
        </w:rPr>
        <w:t>（</w:t>
      </w:r>
      <w:r>
        <w:rPr>
          <w:rFonts w:hint="eastAsia" w:ascii="宋体" w:hAnsi="宋体" w:cs="Arial"/>
          <w:i/>
          <w:iCs/>
          <w:sz w:val="24"/>
          <w:u w:val="single"/>
          <w:lang w:eastAsia="zh-CN"/>
        </w:rPr>
        <w:t>供应商</w:t>
      </w:r>
      <w:r>
        <w:rPr>
          <w:rFonts w:ascii="宋体" w:hAnsi="宋体" w:cs="Arial"/>
          <w:i/>
          <w:iCs/>
          <w:sz w:val="24"/>
          <w:u w:val="single"/>
        </w:rPr>
        <w:t>名称、地址）</w:t>
      </w:r>
      <w:r>
        <w:rPr>
          <w:rFonts w:ascii="宋体" w:hAnsi="宋体" w:cs="Arial"/>
          <w:sz w:val="24"/>
        </w:rPr>
        <w:t>提交下述文件正本</w:t>
      </w:r>
      <w:r>
        <w:rPr>
          <w:rFonts w:hint="eastAsia" w:ascii="宋体" w:hAnsi="宋体" w:cs="Arial"/>
          <w:sz w:val="24"/>
          <w:u w:val="single"/>
        </w:rPr>
        <w:t xml:space="preserve">   </w:t>
      </w:r>
      <w:r>
        <w:rPr>
          <w:rFonts w:ascii="宋体" w:hAnsi="宋体" w:cs="Arial"/>
          <w:sz w:val="24"/>
        </w:rPr>
        <w:t>份及副本</w:t>
      </w:r>
      <w:r>
        <w:rPr>
          <w:rFonts w:hint="eastAsia" w:ascii="宋体" w:hAnsi="宋体" w:cs="Arial"/>
          <w:sz w:val="24"/>
          <w:u w:val="single"/>
        </w:rPr>
        <w:t xml:space="preserve">   </w:t>
      </w:r>
      <w:r>
        <w:rPr>
          <w:rFonts w:ascii="宋体" w:hAnsi="宋体" w:cs="Arial"/>
          <w:sz w:val="24"/>
        </w:rPr>
        <w:t>份：</w:t>
      </w:r>
    </w:p>
    <w:p>
      <w:pPr>
        <w:numPr>
          <w:ilvl w:val="0"/>
          <w:numId w:val="5"/>
        </w:numPr>
        <w:spacing w:line="560" w:lineRule="exact"/>
        <w:rPr>
          <w:rFonts w:ascii="宋体" w:hAnsi="宋体" w:cs="Arial"/>
          <w:sz w:val="24"/>
        </w:rPr>
      </w:pPr>
      <w:r>
        <w:rPr>
          <w:rFonts w:hint="eastAsia" w:ascii="宋体" w:hAnsi="宋体" w:cs="Arial"/>
          <w:sz w:val="24"/>
        </w:rPr>
        <w:t>磋商</w:t>
      </w:r>
      <w:r>
        <w:rPr>
          <w:rFonts w:ascii="宋体" w:hAnsi="宋体" w:cs="Arial"/>
          <w:sz w:val="24"/>
        </w:rPr>
        <w:t>函；</w:t>
      </w:r>
    </w:p>
    <w:p>
      <w:pPr>
        <w:numPr>
          <w:ilvl w:val="0"/>
          <w:numId w:val="5"/>
        </w:numPr>
        <w:spacing w:line="560" w:lineRule="exact"/>
        <w:rPr>
          <w:rFonts w:ascii="宋体" w:hAnsi="宋体" w:cs="Arial"/>
          <w:sz w:val="24"/>
        </w:rPr>
      </w:pPr>
      <w:r>
        <w:rPr>
          <w:rFonts w:hint="eastAsia" w:ascii="宋体" w:hAnsi="宋体" w:cs="Arial"/>
          <w:sz w:val="24"/>
          <w:lang w:val="en-US" w:eastAsia="zh-CN"/>
        </w:rPr>
        <w:t>磋商函附录</w:t>
      </w:r>
      <w:r>
        <w:rPr>
          <w:rFonts w:ascii="宋体" w:hAnsi="宋体" w:cs="Arial"/>
          <w:sz w:val="24"/>
        </w:rPr>
        <w:t>；</w:t>
      </w:r>
    </w:p>
    <w:p>
      <w:pPr>
        <w:numPr>
          <w:ilvl w:val="0"/>
          <w:numId w:val="5"/>
        </w:numPr>
        <w:spacing w:line="560" w:lineRule="exact"/>
        <w:rPr>
          <w:rFonts w:ascii="宋体" w:hAnsi="宋体" w:cs="Arial"/>
          <w:sz w:val="24"/>
        </w:rPr>
      </w:pPr>
      <w:r>
        <w:rPr>
          <w:rFonts w:ascii="宋体" w:hAnsi="宋体" w:cs="Arial"/>
          <w:sz w:val="24"/>
        </w:rPr>
        <w:t>按</w:t>
      </w:r>
      <w:r>
        <w:rPr>
          <w:rFonts w:hint="eastAsia" w:ascii="宋体" w:hAnsi="宋体" w:cs="Arial"/>
          <w:sz w:val="24"/>
          <w:lang w:eastAsia="zh-CN"/>
        </w:rPr>
        <w:t>磋商</w:t>
      </w:r>
      <w:r>
        <w:rPr>
          <w:rFonts w:ascii="宋体" w:hAnsi="宋体" w:cs="Arial"/>
          <w:sz w:val="24"/>
        </w:rPr>
        <w:t>文件要求提供的所有文件和建议书；</w:t>
      </w:r>
    </w:p>
    <w:p>
      <w:pPr>
        <w:spacing w:line="560" w:lineRule="exact"/>
        <w:ind w:firstLine="480" w:firstLineChars="200"/>
        <w:rPr>
          <w:rFonts w:ascii="宋体" w:hAnsi="宋体" w:cs="Arial"/>
          <w:sz w:val="24"/>
        </w:rPr>
      </w:pPr>
      <w:r>
        <w:rPr>
          <w:rFonts w:ascii="宋体" w:hAnsi="宋体" w:cs="Arial"/>
          <w:sz w:val="24"/>
        </w:rPr>
        <w:t>并附上：金额为</w:t>
      </w:r>
      <w:r>
        <w:rPr>
          <w:rFonts w:ascii="宋体" w:hAnsi="宋体" w:cs="Arial"/>
          <w:sz w:val="24"/>
          <w:u w:val="single"/>
        </w:rPr>
        <w:t>（用文字和数字表示）</w:t>
      </w:r>
      <w:r>
        <w:rPr>
          <w:rFonts w:ascii="宋体" w:hAnsi="宋体" w:cs="Arial"/>
          <w:sz w:val="24"/>
        </w:rPr>
        <w:t>元人民币的投标保证金（形式如下：□银行</w:t>
      </w:r>
      <w:r>
        <w:rPr>
          <w:rFonts w:hint="eastAsia" w:ascii="宋体" w:hAnsi="宋体" w:cs="Arial"/>
          <w:sz w:val="24"/>
        </w:rPr>
        <w:t>支票</w:t>
      </w:r>
      <w:r>
        <w:rPr>
          <w:rFonts w:ascii="宋体" w:hAnsi="宋体" w:cs="Arial"/>
          <w:sz w:val="24"/>
        </w:rPr>
        <w:t>；□银行</w:t>
      </w:r>
      <w:r>
        <w:rPr>
          <w:rFonts w:hint="eastAsia" w:ascii="宋体" w:hAnsi="宋体" w:cs="Arial"/>
          <w:sz w:val="24"/>
        </w:rPr>
        <w:t>汇票</w:t>
      </w:r>
      <w:r>
        <w:rPr>
          <w:rFonts w:ascii="宋体" w:hAnsi="宋体" w:cs="Arial"/>
          <w:sz w:val="24"/>
        </w:rPr>
        <w:t>；□现金）。</w:t>
      </w:r>
    </w:p>
    <w:p>
      <w:pPr>
        <w:spacing w:line="560" w:lineRule="exact"/>
        <w:rPr>
          <w:rFonts w:ascii="宋体" w:hAnsi="宋体" w:cs="Arial"/>
          <w:sz w:val="24"/>
        </w:rPr>
      </w:pPr>
      <w:r>
        <w:rPr>
          <w:rFonts w:ascii="宋体" w:hAnsi="宋体" w:cs="Arial"/>
          <w:sz w:val="24"/>
        </w:rPr>
        <w:t>根据此函，签字代表宣布同意如下：</w:t>
      </w:r>
    </w:p>
    <w:p>
      <w:pPr>
        <w:numPr>
          <w:ilvl w:val="0"/>
          <w:numId w:val="6"/>
        </w:numPr>
        <w:spacing w:line="560" w:lineRule="exact"/>
        <w:rPr>
          <w:rFonts w:ascii="宋体" w:hAnsi="宋体" w:cs="Arial"/>
          <w:sz w:val="24"/>
        </w:rPr>
      </w:pPr>
      <w:r>
        <w:rPr>
          <w:rFonts w:ascii="宋体" w:hAnsi="宋体" w:cs="Arial"/>
          <w:sz w:val="24"/>
        </w:rPr>
        <w:t>所附投标价格表中规定的应提交和交付的货物</w:t>
      </w:r>
      <w:r>
        <w:rPr>
          <w:rFonts w:hint="eastAsia" w:ascii="宋体" w:hAnsi="宋体" w:cs="Arial"/>
          <w:sz w:val="24"/>
          <w:lang w:val="en-US" w:eastAsia="zh-CN"/>
        </w:rPr>
        <w:t>或</w:t>
      </w:r>
      <w:r>
        <w:rPr>
          <w:rFonts w:ascii="宋体" w:hAnsi="宋体" w:cs="Arial"/>
          <w:sz w:val="24"/>
        </w:rPr>
        <w:t>服务的投标总价为</w:t>
      </w:r>
      <w:r>
        <w:rPr>
          <w:rFonts w:hint="eastAsia" w:ascii="宋体" w:hAnsi="宋体" w:cs="Arial"/>
          <w:sz w:val="24"/>
        </w:rPr>
        <w:t>人民币</w:t>
      </w:r>
      <w:r>
        <w:rPr>
          <w:rFonts w:ascii="宋体" w:hAnsi="宋体" w:cs="Arial"/>
          <w:i/>
          <w:iCs/>
          <w:sz w:val="24"/>
          <w:u w:val="single"/>
        </w:rPr>
        <w:t>（用文字和数字表示的投标总价）</w:t>
      </w:r>
      <w:r>
        <w:rPr>
          <w:rFonts w:ascii="宋体" w:hAnsi="宋体" w:cs="Arial"/>
          <w:sz w:val="24"/>
        </w:rPr>
        <w:t>。</w:t>
      </w:r>
    </w:p>
    <w:p>
      <w:pPr>
        <w:numPr>
          <w:ilvl w:val="0"/>
          <w:numId w:val="6"/>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接受本</w:t>
      </w:r>
      <w:r>
        <w:rPr>
          <w:rFonts w:hint="eastAsia" w:ascii="宋体" w:hAnsi="宋体" w:cs="Arial"/>
          <w:sz w:val="24"/>
          <w:lang w:eastAsia="zh-CN"/>
        </w:rPr>
        <w:t>磋商文件</w:t>
      </w:r>
      <w:r>
        <w:rPr>
          <w:rFonts w:ascii="宋体" w:hAnsi="宋体" w:cs="Arial"/>
          <w:sz w:val="24"/>
        </w:rPr>
        <w:t>合同书格式及合同条款，并将按</w:t>
      </w:r>
      <w:r>
        <w:rPr>
          <w:rFonts w:hint="eastAsia" w:ascii="宋体" w:hAnsi="宋体" w:cs="Arial"/>
          <w:sz w:val="24"/>
          <w:lang w:eastAsia="zh-CN"/>
        </w:rPr>
        <w:t>磋商文件</w:t>
      </w:r>
      <w:r>
        <w:rPr>
          <w:rFonts w:ascii="宋体" w:hAnsi="宋体" w:cs="Arial"/>
          <w:sz w:val="24"/>
        </w:rPr>
        <w:t>的规定履行合同责任和义务。</w:t>
      </w:r>
    </w:p>
    <w:p>
      <w:pPr>
        <w:numPr>
          <w:ilvl w:val="0"/>
          <w:numId w:val="6"/>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已详细审查全部</w:t>
      </w:r>
      <w:r>
        <w:rPr>
          <w:rFonts w:hint="eastAsia" w:ascii="宋体" w:hAnsi="宋体" w:cs="Arial"/>
          <w:sz w:val="24"/>
          <w:lang w:eastAsia="zh-CN"/>
        </w:rPr>
        <w:t>磋商文件</w:t>
      </w:r>
      <w:r>
        <w:rPr>
          <w:rFonts w:ascii="宋体" w:hAnsi="宋体" w:cs="Arial"/>
          <w:sz w:val="24"/>
        </w:rPr>
        <w:t>，包括</w:t>
      </w:r>
      <w:r>
        <w:rPr>
          <w:rFonts w:hint="eastAsia" w:ascii="宋体" w:hAnsi="宋体" w:cs="Arial"/>
          <w:i/>
          <w:iCs/>
          <w:sz w:val="24"/>
          <w:u w:val="single"/>
        </w:rPr>
        <w:t>澄清、修改通知等</w:t>
      </w:r>
      <w:r>
        <w:rPr>
          <w:rFonts w:ascii="宋体" w:hAnsi="宋体" w:cs="Arial"/>
          <w:i/>
          <w:iCs/>
          <w:sz w:val="24"/>
          <w:u w:val="single"/>
        </w:rPr>
        <w:t>（如果有的话）</w:t>
      </w:r>
      <w:r>
        <w:rPr>
          <w:rFonts w:ascii="宋体" w:hAnsi="宋体" w:cs="Arial"/>
          <w:sz w:val="24"/>
        </w:rPr>
        <w:t>。我们完全理解并同意放弃对这方面有不明及误解的权力。</w:t>
      </w:r>
    </w:p>
    <w:p>
      <w:pPr>
        <w:numPr>
          <w:ilvl w:val="0"/>
          <w:numId w:val="6"/>
        </w:numPr>
        <w:spacing w:line="560" w:lineRule="exact"/>
        <w:rPr>
          <w:rFonts w:ascii="宋体" w:hAnsi="宋体" w:cs="Arial"/>
          <w:sz w:val="24"/>
        </w:rPr>
      </w:pPr>
      <w:r>
        <w:rPr>
          <w:rFonts w:ascii="宋体" w:hAnsi="宋体" w:cs="Arial"/>
          <w:sz w:val="24"/>
        </w:rPr>
        <w:t>本投标有效期为自开标日起九十（90）个日历日。</w:t>
      </w:r>
    </w:p>
    <w:p>
      <w:pPr>
        <w:numPr>
          <w:ilvl w:val="0"/>
          <w:numId w:val="6"/>
        </w:numPr>
        <w:spacing w:line="560" w:lineRule="exact"/>
        <w:rPr>
          <w:rFonts w:ascii="宋体" w:hAnsi="宋体" w:cs="Arial"/>
          <w:sz w:val="24"/>
        </w:rPr>
      </w:pPr>
      <w:r>
        <w:rPr>
          <w:rFonts w:hint="eastAsia" w:ascii="宋体" w:hAnsi="宋体"/>
          <w:sz w:val="24"/>
        </w:rPr>
        <w:t>根据</w:t>
      </w:r>
      <w:r>
        <w:rPr>
          <w:rFonts w:hint="eastAsia" w:ascii="宋体" w:hAnsi="宋体"/>
          <w:sz w:val="24"/>
          <w:lang w:eastAsia="zh-CN"/>
        </w:rPr>
        <w:t>供应商</w:t>
      </w:r>
      <w:r>
        <w:rPr>
          <w:rFonts w:hint="eastAsia" w:ascii="宋体" w:hAnsi="宋体"/>
          <w:sz w:val="24"/>
        </w:rPr>
        <w:t>须知第14.5条的规定，贵方即可没收上述保证金。</w:t>
      </w:r>
    </w:p>
    <w:p>
      <w:pPr>
        <w:numPr>
          <w:ilvl w:val="0"/>
          <w:numId w:val="6"/>
        </w:num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同意提供按照贵方可能要求的与其投标有关的一切数据或资料，完全理解贵方不一定接受最低价的投标或收到的任何投标。</w:t>
      </w:r>
    </w:p>
    <w:p>
      <w:pPr>
        <w:numPr>
          <w:ilvl w:val="0"/>
          <w:numId w:val="6"/>
        </w:numPr>
        <w:spacing w:line="560" w:lineRule="exact"/>
        <w:rPr>
          <w:rFonts w:ascii="宋体" w:hAnsi="宋体" w:cs="Arial"/>
          <w:sz w:val="24"/>
        </w:rPr>
      </w:pPr>
      <w:r>
        <w:rPr>
          <w:rFonts w:ascii="宋体" w:hAnsi="宋体" w:cs="Arial"/>
          <w:sz w:val="24"/>
        </w:rPr>
        <w:t>与本投标有关的一切正式往来函件、通讯请发往：</w:t>
      </w:r>
    </w:p>
    <w:p>
      <w:pPr>
        <w:spacing w:line="560" w:lineRule="exact"/>
        <w:rPr>
          <w:rFonts w:ascii="宋体" w:hAnsi="宋体" w:cs="Arial"/>
          <w:sz w:val="24"/>
        </w:rPr>
      </w:pPr>
      <w:r>
        <w:rPr>
          <w:rFonts w:ascii="宋体" w:hAnsi="宋体" w:cs="Arial"/>
          <w:sz w:val="24"/>
        </w:rPr>
        <w:t xml:space="preserve">地址 </w:t>
      </w:r>
      <w:r>
        <w:rPr>
          <w:rFonts w:ascii="宋体" w:hAnsi="宋体" w:cs="Arial"/>
          <w:sz w:val="24"/>
          <w:u w:val="single"/>
        </w:rPr>
        <w:t xml:space="preserve">                           </w:t>
      </w:r>
      <w:r>
        <w:rPr>
          <w:rFonts w:ascii="宋体" w:hAnsi="宋体" w:cs="Arial"/>
          <w:sz w:val="24"/>
        </w:rPr>
        <w:t xml:space="preserve">        传    真 </w:t>
      </w:r>
      <w:r>
        <w:rPr>
          <w:rFonts w:ascii="宋体" w:hAnsi="宋体" w:cs="Arial"/>
          <w:sz w:val="24"/>
          <w:u w:val="single"/>
        </w:rPr>
        <w:t xml:space="preserve">                      </w:t>
      </w:r>
      <w:r>
        <w:rPr>
          <w:rFonts w:ascii="宋体" w:hAnsi="宋体" w:cs="Arial"/>
          <w:sz w:val="24"/>
        </w:rPr>
        <w:t xml:space="preserve"> </w:t>
      </w:r>
    </w:p>
    <w:p>
      <w:pPr>
        <w:spacing w:line="560" w:lineRule="exact"/>
        <w:rPr>
          <w:rFonts w:ascii="宋体" w:hAnsi="宋体" w:cs="Arial"/>
          <w:sz w:val="24"/>
        </w:rPr>
      </w:pPr>
      <w:r>
        <w:rPr>
          <w:rFonts w:ascii="宋体" w:hAnsi="宋体" w:cs="Arial"/>
          <w:sz w:val="24"/>
        </w:rPr>
        <w:t xml:space="preserve">电话 </w:t>
      </w:r>
      <w:r>
        <w:rPr>
          <w:rFonts w:ascii="宋体" w:hAnsi="宋体" w:cs="Arial"/>
          <w:sz w:val="24"/>
          <w:u w:val="single"/>
        </w:rPr>
        <w:t xml:space="preserve">                           </w:t>
      </w:r>
      <w:r>
        <w:rPr>
          <w:rFonts w:ascii="宋体" w:hAnsi="宋体" w:cs="Arial"/>
          <w:sz w:val="24"/>
        </w:rPr>
        <w:t xml:space="preserve">        电子函件</w:t>
      </w:r>
      <w:r>
        <w:rPr>
          <w:rFonts w:ascii="宋体" w:hAnsi="宋体" w:cs="Arial"/>
          <w:sz w:val="24"/>
          <w:u w:val="single"/>
        </w:rPr>
        <w:t xml:space="preserve">                       </w:t>
      </w:r>
      <w:r>
        <w:rPr>
          <w:rFonts w:ascii="宋体" w:hAnsi="宋体" w:cs="Arial"/>
          <w:sz w:val="24"/>
        </w:rPr>
        <w:t xml:space="preserve"> </w:t>
      </w:r>
    </w:p>
    <w:p>
      <w:pPr>
        <w:spacing w:line="560" w:lineRule="exact"/>
        <w:rPr>
          <w:rFonts w:ascii="宋体" w:hAnsi="宋体" w:cs="Arial"/>
          <w:sz w:val="24"/>
        </w:rPr>
      </w:pPr>
      <w:r>
        <w:rPr>
          <w:rFonts w:hint="eastAsia" w:ascii="宋体" w:hAnsi="宋体" w:cs="Arial"/>
          <w:sz w:val="24"/>
          <w:lang w:eastAsia="zh-CN"/>
        </w:rPr>
        <w:t>供应商</w:t>
      </w:r>
      <w:r>
        <w:rPr>
          <w:rFonts w:ascii="宋体" w:hAnsi="宋体" w:cs="Arial"/>
          <w:sz w:val="24"/>
        </w:rPr>
        <w:t xml:space="preserve">名称 </w:t>
      </w:r>
      <w:r>
        <w:rPr>
          <w:rFonts w:ascii="宋体" w:hAnsi="宋体" w:cs="Arial"/>
          <w:sz w:val="24"/>
          <w:u w:val="single"/>
        </w:rPr>
        <w:t xml:space="preserve">                     </w:t>
      </w:r>
      <w:r>
        <w:rPr>
          <w:rFonts w:ascii="宋体" w:hAnsi="宋体" w:cs="Arial"/>
          <w:sz w:val="24"/>
        </w:rPr>
        <w:t xml:space="preserve">        </w:t>
      </w:r>
      <w:r>
        <w:rPr>
          <w:rFonts w:hint="eastAsia" w:ascii="宋体" w:hAnsi="宋体" w:cs="Arial"/>
          <w:sz w:val="24"/>
          <w:lang w:eastAsia="zh-CN"/>
        </w:rPr>
        <w:t>供应商</w:t>
      </w:r>
      <w:r>
        <w:rPr>
          <w:rFonts w:ascii="宋体" w:hAnsi="宋体" w:cs="Arial"/>
          <w:sz w:val="24"/>
        </w:rPr>
        <w:t xml:space="preserve">代表  </w:t>
      </w:r>
      <w:r>
        <w:rPr>
          <w:rFonts w:ascii="宋体" w:hAnsi="宋体" w:cs="Arial"/>
          <w:sz w:val="24"/>
          <w:u w:val="single"/>
        </w:rPr>
        <w:t>姓名、职务（印刷体）</w:t>
      </w:r>
    </w:p>
    <w:p>
      <w:pPr>
        <w:spacing w:line="560" w:lineRule="exact"/>
        <w:rPr>
          <w:rFonts w:ascii="宋体" w:hAnsi="宋体" w:cs="Arial"/>
          <w:sz w:val="24"/>
          <w:u w:val="single"/>
        </w:rPr>
      </w:pPr>
      <w:r>
        <w:rPr>
          <w:rFonts w:ascii="宋体" w:hAnsi="宋体" w:cs="Arial"/>
          <w:sz w:val="24"/>
        </w:rPr>
        <w:t xml:space="preserve">公章 </w:t>
      </w:r>
      <w:r>
        <w:rPr>
          <w:rFonts w:ascii="宋体" w:hAnsi="宋体" w:cs="Arial"/>
          <w:sz w:val="24"/>
          <w:u w:val="single"/>
        </w:rPr>
        <w:t xml:space="preserve">                           </w:t>
      </w:r>
      <w:r>
        <w:rPr>
          <w:rFonts w:ascii="宋体" w:hAnsi="宋体" w:cs="Arial"/>
          <w:sz w:val="24"/>
        </w:rPr>
        <w:t xml:space="preserve">        </w:t>
      </w:r>
      <w:r>
        <w:rPr>
          <w:rFonts w:hint="eastAsia" w:ascii="宋体" w:hAnsi="宋体" w:cs="Arial"/>
          <w:sz w:val="24"/>
          <w:lang w:eastAsia="zh-CN"/>
        </w:rPr>
        <w:t>供应商</w:t>
      </w:r>
      <w:r>
        <w:rPr>
          <w:rFonts w:ascii="宋体" w:hAnsi="宋体" w:cs="Arial"/>
          <w:sz w:val="24"/>
        </w:rPr>
        <w:t>代表签字</w:t>
      </w:r>
      <w:r>
        <w:rPr>
          <w:rFonts w:ascii="宋体" w:hAnsi="宋体" w:cs="Arial"/>
          <w:sz w:val="24"/>
          <w:u w:val="single"/>
        </w:rPr>
        <w:t xml:space="preserve">                  </w:t>
      </w:r>
    </w:p>
    <w:p>
      <w:pPr>
        <w:spacing w:line="560" w:lineRule="exact"/>
        <w:jc w:val="left"/>
        <w:rPr>
          <w:rFonts w:ascii="宋体" w:hAnsi="宋体" w:cs="Arial"/>
          <w:sz w:val="24"/>
        </w:rPr>
      </w:pPr>
      <w:r>
        <w:rPr>
          <w:rFonts w:ascii="宋体" w:hAnsi="宋体" w:cs="Arial"/>
          <w:sz w:val="24"/>
        </w:rPr>
        <w:t xml:space="preserve">日期 </w:t>
      </w:r>
      <w:r>
        <w:rPr>
          <w:rFonts w:ascii="宋体" w:hAnsi="宋体" w:cs="Arial"/>
          <w:sz w:val="24"/>
          <w:u w:val="single"/>
        </w:rPr>
        <w:t xml:space="preserve">                           </w:t>
      </w:r>
      <w:r>
        <w:rPr>
          <w:rFonts w:ascii="宋体" w:hAnsi="宋体" w:cs="Arial"/>
          <w:sz w:val="24"/>
        </w:rPr>
        <w:t xml:space="preserve"> </w:t>
      </w:r>
    </w:p>
    <w:p>
      <w:pPr>
        <w:pStyle w:val="4"/>
        <w:sectPr>
          <w:footerReference r:id="rId10" w:type="default"/>
          <w:pgSz w:w="11906" w:h="16838"/>
          <w:pgMar w:top="1247" w:right="1134" w:bottom="1712" w:left="1304" w:header="794" w:footer="907" w:gutter="0"/>
          <w:pgBorders>
            <w:top w:val="none" w:sz="0" w:space="0"/>
            <w:left w:val="none" w:sz="0" w:space="0"/>
            <w:bottom w:val="none" w:sz="0" w:space="0"/>
            <w:right w:val="none" w:sz="0" w:space="0"/>
          </w:pgBorders>
          <w:cols w:space="720" w:num="1"/>
          <w:docGrid w:type="lines" w:linePitch="312" w:charSpace="0"/>
        </w:sectPr>
      </w:pPr>
    </w:p>
    <w:p>
      <w:pPr>
        <w:spacing w:before="58"/>
        <w:jc w:val="center"/>
        <w:outlineLvl w:val="1"/>
        <w:rPr>
          <w:rFonts w:hint="default" w:asciiTheme="minorEastAsia" w:hAnsiTheme="minorEastAsia" w:eastAsiaTheme="minorEastAsia" w:cstheme="minorEastAsia"/>
          <w:b/>
          <w:sz w:val="30"/>
          <w:lang w:val="en-US" w:eastAsia="zh-CN"/>
        </w:rPr>
      </w:pPr>
      <w:bookmarkStart w:id="233" w:name="_Hlt10534853"/>
      <w:bookmarkEnd w:id="233"/>
      <w:bookmarkStart w:id="234" w:name="_Hlt10534859"/>
      <w:bookmarkEnd w:id="234"/>
      <w:bookmarkStart w:id="235" w:name="_Hlt10534370"/>
      <w:bookmarkEnd w:id="235"/>
      <w:bookmarkStart w:id="236" w:name="_Hlt535815816"/>
      <w:bookmarkEnd w:id="236"/>
      <w:bookmarkStart w:id="237" w:name="_Toc8736"/>
      <w:bookmarkStart w:id="238" w:name="_Toc10602"/>
      <w:bookmarkStart w:id="239" w:name="_Toc22689"/>
      <w:bookmarkStart w:id="240" w:name="_Toc461966530"/>
      <w:bookmarkStart w:id="241" w:name="_Toc387154590"/>
      <w:bookmarkStart w:id="242" w:name="_Toc11158"/>
      <w:bookmarkStart w:id="243" w:name="_Toc120411849"/>
      <w:r>
        <w:rPr>
          <w:rFonts w:hint="eastAsia" w:asciiTheme="minorEastAsia" w:hAnsiTheme="minorEastAsia" w:eastAsiaTheme="minorEastAsia" w:cstheme="minorEastAsia"/>
          <w:b/>
          <w:sz w:val="30"/>
        </w:rPr>
        <w:t>（二）</w:t>
      </w:r>
      <w:bookmarkEnd w:id="237"/>
      <w:bookmarkEnd w:id="238"/>
      <w:bookmarkEnd w:id="239"/>
      <w:r>
        <w:rPr>
          <w:rFonts w:hint="eastAsia" w:asciiTheme="minorEastAsia" w:hAnsiTheme="minorEastAsia" w:eastAsiaTheme="minorEastAsia" w:cstheme="minorEastAsia"/>
          <w:b/>
          <w:sz w:val="30"/>
          <w:lang w:val="en-US" w:eastAsia="zh-CN"/>
        </w:rPr>
        <w:t>磋商函附录</w:t>
      </w:r>
    </w:p>
    <w:p>
      <w:pPr>
        <w:numPr>
          <w:ilvl w:val="3"/>
          <w:numId w:val="0"/>
        </w:numPr>
        <w:ind w:firstLine="240" w:firstLineChars="100"/>
        <w:rPr>
          <w:sz w:val="24"/>
          <w:u w:val="single"/>
        </w:rPr>
      </w:pPr>
      <w:r>
        <w:rPr>
          <w:rFonts w:hint="eastAsia"/>
          <w:sz w:val="24"/>
        </w:rPr>
        <w:t>项目编号：</w:t>
      </w:r>
      <w:r>
        <w:rPr>
          <w:rFonts w:hint="eastAsia"/>
          <w:sz w:val="24"/>
          <w:u w:val="single"/>
        </w:rPr>
        <w:t xml:space="preserve">                            </w:t>
      </w:r>
      <w:r>
        <w:rPr>
          <w:rFonts w:hint="eastAsia"/>
          <w:sz w:val="24"/>
        </w:rPr>
        <w:t>项目名称：</w:t>
      </w:r>
      <w:r>
        <w:rPr>
          <w:rFonts w:hint="eastAsia"/>
          <w:sz w:val="24"/>
          <w:u w:val="single"/>
        </w:rPr>
        <w:t xml:space="preserve">                            </w:t>
      </w:r>
    </w:p>
    <w:tbl>
      <w:tblPr>
        <w:tblStyle w:val="168"/>
        <w:tblW w:w="929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6"/>
        <w:gridCol w:w="2129"/>
        <w:gridCol w:w="1305"/>
        <w:gridCol w:w="1499"/>
        <w:gridCol w:w="2003"/>
        <w:gridCol w:w="13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1006" w:type="dxa"/>
            <w:vAlign w:val="center"/>
          </w:tcPr>
          <w:p>
            <w:pPr>
              <w:pStyle w:val="193"/>
              <w:topLinePunct/>
              <w:spacing w:before="288" w:line="229" w:lineRule="auto"/>
              <w:jc w:val="center"/>
              <w:rPr>
                <w:color w:val="auto"/>
              </w:rPr>
            </w:pPr>
            <w:r>
              <w:rPr>
                <w:color w:val="auto"/>
                <w:spacing w:val="5"/>
              </w:rPr>
              <w:t>序号</w:t>
            </w:r>
          </w:p>
        </w:tc>
        <w:tc>
          <w:tcPr>
            <w:tcW w:w="2129" w:type="dxa"/>
            <w:vAlign w:val="center"/>
          </w:tcPr>
          <w:p>
            <w:pPr>
              <w:pStyle w:val="193"/>
              <w:topLinePunct/>
              <w:spacing w:before="288" w:line="226" w:lineRule="auto"/>
              <w:jc w:val="center"/>
              <w:rPr>
                <w:color w:val="auto"/>
              </w:rPr>
            </w:pPr>
            <w:r>
              <w:rPr>
                <w:color w:val="auto"/>
                <w:spacing w:val="7"/>
              </w:rPr>
              <w:t>磋商报价（万元）</w:t>
            </w:r>
          </w:p>
        </w:tc>
        <w:tc>
          <w:tcPr>
            <w:tcW w:w="1305" w:type="dxa"/>
            <w:vAlign w:val="center"/>
          </w:tcPr>
          <w:p>
            <w:pPr>
              <w:pStyle w:val="193"/>
              <w:topLinePunct/>
              <w:spacing w:before="287" w:line="228" w:lineRule="auto"/>
              <w:jc w:val="center"/>
              <w:rPr>
                <w:rFonts w:hint="default"/>
                <w:color w:val="auto"/>
                <w:lang w:val="en-US"/>
              </w:rPr>
            </w:pPr>
            <w:r>
              <w:rPr>
                <w:rFonts w:hint="eastAsia"/>
                <w:color w:val="auto"/>
                <w:spacing w:val="5"/>
                <w:lang w:val="en-US" w:eastAsia="zh-CN"/>
              </w:rPr>
              <w:t>完成时间及承诺</w:t>
            </w:r>
          </w:p>
        </w:tc>
        <w:tc>
          <w:tcPr>
            <w:tcW w:w="1499" w:type="dxa"/>
            <w:vAlign w:val="center"/>
          </w:tcPr>
          <w:p>
            <w:pPr>
              <w:pStyle w:val="193"/>
              <w:topLinePunct/>
              <w:spacing w:before="288" w:line="228" w:lineRule="auto"/>
              <w:jc w:val="center"/>
              <w:rPr>
                <w:rFonts w:hint="default" w:eastAsia="宋体"/>
                <w:color w:val="auto"/>
                <w:lang w:val="en-US" w:eastAsia="zh-CN"/>
              </w:rPr>
            </w:pPr>
            <w:r>
              <w:rPr>
                <w:rFonts w:hint="eastAsia"/>
                <w:color w:val="auto"/>
                <w:spacing w:val="6"/>
                <w:lang w:val="en-US" w:eastAsia="zh-CN"/>
              </w:rPr>
              <w:t>拟派项目组人数</w:t>
            </w:r>
          </w:p>
        </w:tc>
        <w:tc>
          <w:tcPr>
            <w:tcW w:w="2003" w:type="dxa"/>
            <w:vAlign w:val="center"/>
          </w:tcPr>
          <w:p>
            <w:pPr>
              <w:pStyle w:val="193"/>
              <w:topLinePunct/>
              <w:spacing w:before="287"/>
              <w:jc w:val="center"/>
              <w:rPr>
                <w:color w:val="auto"/>
                <w:lang w:eastAsia="zh-CN"/>
              </w:rPr>
            </w:pPr>
            <w:r>
              <w:rPr>
                <w:rFonts w:hint="eastAsia"/>
                <w:color w:val="auto"/>
                <w:lang w:eastAsia="zh-CN"/>
              </w:rPr>
              <w:t>项目经理</w:t>
            </w:r>
          </w:p>
          <w:p>
            <w:pPr>
              <w:pStyle w:val="193"/>
              <w:topLinePunct/>
              <w:spacing w:before="287"/>
              <w:jc w:val="center"/>
              <w:rPr>
                <w:color w:val="auto"/>
                <w:lang w:eastAsia="zh-CN"/>
              </w:rPr>
            </w:pPr>
            <w:r>
              <w:rPr>
                <w:rFonts w:hint="eastAsia"/>
                <w:color w:val="auto"/>
                <w:lang w:eastAsia="zh-CN"/>
              </w:rPr>
              <w:t>（姓名，身份证号）</w:t>
            </w:r>
          </w:p>
        </w:tc>
        <w:tc>
          <w:tcPr>
            <w:tcW w:w="1352" w:type="dxa"/>
            <w:vAlign w:val="center"/>
          </w:tcPr>
          <w:p>
            <w:pPr>
              <w:pStyle w:val="193"/>
              <w:topLinePunct/>
              <w:spacing w:before="287" w:line="228" w:lineRule="auto"/>
              <w:jc w:val="center"/>
              <w:rPr>
                <w:color w:val="auto"/>
                <w:spacing w:val="7"/>
              </w:rPr>
            </w:pPr>
            <w:r>
              <w:rPr>
                <w:color w:val="auto"/>
                <w:spacing w:val="7"/>
              </w:rPr>
              <w:t>磋商声明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1" w:hRule="atLeast"/>
        </w:trPr>
        <w:tc>
          <w:tcPr>
            <w:tcW w:w="1006" w:type="dxa"/>
            <w:vAlign w:val="center"/>
          </w:tcPr>
          <w:p>
            <w:pPr>
              <w:jc w:val="center"/>
              <w:rPr>
                <w:color w:val="auto"/>
              </w:rPr>
            </w:pPr>
          </w:p>
        </w:tc>
        <w:tc>
          <w:tcPr>
            <w:tcW w:w="2129" w:type="dxa"/>
            <w:vAlign w:val="center"/>
          </w:tcPr>
          <w:p>
            <w:pPr>
              <w:jc w:val="center"/>
              <w:rPr>
                <w:color w:val="auto"/>
              </w:rPr>
            </w:pPr>
          </w:p>
        </w:tc>
        <w:tc>
          <w:tcPr>
            <w:tcW w:w="1305" w:type="dxa"/>
            <w:vAlign w:val="center"/>
          </w:tcPr>
          <w:p>
            <w:pPr>
              <w:jc w:val="center"/>
              <w:rPr>
                <w:color w:val="auto"/>
              </w:rPr>
            </w:pPr>
          </w:p>
        </w:tc>
        <w:tc>
          <w:tcPr>
            <w:tcW w:w="1499" w:type="dxa"/>
            <w:vAlign w:val="center"/>
          </w:tcPr>
          <w:p>
            <w:pPr>
              <w:jc w:val="center"/>
              <w:rPr>
                <w:color w:val="auto"/>
              </w:rPr>
            </w:pPr>
          </w:p>
        </w:tc>
        <w:tc>
          <w:tcPr>
            <w:tcW w:w="2003" w:type="dxa"/>
            <w:vAlign w:val="center"/>
          </w:tcPr>
          <w:p>
            <w:pPr>
              <w:jc w:val="center"/>
              <w:rPr>
                <w:color w:val="auto"/>
              </w:rPr>
            </w:pPr>
          </w:p>
        </w:tc>
        <w:tc>
          <w:tcPr>
            <w:tcW w:w="1352" w:type="dxa"/>
            <w:vAlign w:val="center"/>
          </w:tcPr>
          <w:p>
            <w:pPr>
              <w:jc w:val="center"/>
              <w:rPr>
                <w:color w:val="auto"/>
              </w:rPr>
            </w:pPr>
          </w:p>
        </w:tc>
      </w:tr>
    </w:tbl>
    <w:p>
      <w:pPr>
        <w:adjustRightInd w:val="0"/>
        <w:snapToGrid w:val="0"/>
        <w:spacing w:line="360" w:lineRule="auto"/>
        <w:ind w:left="-10" w:leftChars="-5" w:firstLine="16" w:firstLineChars="7"/>
        <w:rPr>
          <w:rFonts w:ascii="宋体" w:hAnsi="宋体"/>
          <w:sz w:val="24"/>
        </w:rPr>
      </w:pPr>
      <w:r>
        <w:rPr>
          <w:rFonts w:hint="eastAsia" w:ascii="宋体" w:hAnsi="宋体"/>
          <w:sz w:val="24"/>
        </w:rPr>
        <w:t>说明：</w:t>
      </w:r>
    </w:p>
    <w:p>
      <w:pPr>
        <w:adjustRightInd w:val="0"/>
        <w:snapToGrid w:val="0"/>
        <w:spacing w:line="360" w:lineRule="auto"/>
        <w:ind w:left="-10" w:leftChars="-5" w:firstLine="16" w:firstLineChars="7"/>
        <w:rPr>
          <w:rFonts w:ascii="宋体" w:hAnsi="宋体"/>
          <w:sz w:val="24"/>
        </w:rPr>
      </w:pPr>
      <w:r>
        <w:rPr>
          <w:rFonts w:hint="eastAsia" w:ascii="宋体" w:hAnsi="宋体"/>
          <w:sz w:val="24"/>
        </w:rPr>
        <w:t xml:space="preserve">1. </w:t>
      </w:r>
      <w:r>
        <w:rPr>
          <w:rFonts w:ascii="宋体" w:hAnsi="宋体"/>
          <w:sz w:val="24"/>
        </w:rPr>
        <w:t>所有价格均系用人民币表示。</w:t>
      </w:r>
    </w:p>
    <w:p>
      <w:pPr>
        <w:adjustRightInd w:val="0"/>
        <w:snapToGrid w:val="0"/>
        <w:spacing w:line="360" w:lineRule="auto"/>
        <w:ind w:left="-10" w:leftChars="-5" w:firstLine="16" w:firstLineChars="7"/>
        <w:rPr>
          <w:rFonts w:ascii="宋体" w:hAnsi="宋体"/>
          <w:sz w:val="24"/>
        </w:rPr>
      </w:pPr>
      <w:r>
        <w:rPr>
          <w:rFonts w:hint="eastAsia" w:ascii="宋体" w:hAnsi="宋体"/>
          <w:sz w:val="24"/>
        </w:rPr>
        <w:t>2. 价格应按照</w:t>
      </w:r>
      <w:r>
        <w:rPr>
          <w:rFonts w:hint="eastAsia"/>
          <w:sz w:val="24"/>
        </w:rPr>
        <w:t>采购需求</w:t>
      </w:r>
      <w:r>
        <w:rPr>
          <w:rFonts w:hint="eastAsia" w:ascii="宋体" w:hAnsi="宋体"/>
          <w:sz w:val="24"/>
        </w:rPr>
        <w:t>要求报价。</w:t>
      </w:r>
    </w:p>
    <w:p>
      <w:pPr>
        <w:adjustRightInd w:val="0"/>
        <w:snapToGrid w:val="0"/>
        <w:spacing w:line="360" w:lineRule="auto"/>
        <w:ind w:left="-10" w:leftChars="-5" w:firstLine="16" w:firstLineChars="7"/>
        <w:rPr>
          <w:rFonts w:ascii="宋体" w:hAnsi="宋体"/>
          <w:sz w:val="24"/>
        </w:rPr>
      </w:pPr>
      <w:r>
        <w:rPr>
          <w:rFonts w:hint="eastAsia" w:ascii="宋体" w:hAnsi="宋体"/>
          <w:sz w:val="24"/>
        </w:rPr>
        <w:t>3. 此表除保留在投标文件中外，另复制一份与</w:t>
      </w:r>
      <w:r>
        <w:rPr>
          <w:rFonts w:hint="eastAsia"/>
          <w:sz w:val="24"/>
          <w:lang w:val="en-US" w:eastAsia="zh-CN"/>
        </w:rPr>
        <w:t>磋商</w:t>
      </w:r>
      <w:r>
        <w:rPr>
          <w:rFonts w:hint="eastAsia" w:ascii="宋体" w:hAnsi="宋体"/>
          <w:sz w:val="24"/>
        </w:rPr>
        <w:t>函（原件）、及投标优惠声明</w:t>
      </w:r>
      <w:r>
        <w:rPr>
          <w:rFonts w:hint="eastAsia"/>
          <w:sz w:val="24"/>
        </w:rPr>
        <w:t>（如有）</w:t>
      </w:r>
      <w:r>
        <w:rPr>
          <w:rFonts w:hint="eastAsia" w:ascii="宋体" w:hAnsi="宋体"/>
          <w:sz w:val="24"/>
        </w:rPr>
        <w:t>一起另外密封装在一个小信封中，作为开标之用。</w:t>
      </w:r>
    </w:p>
    <w:p>
      <w:pPr>
        <w:pStyle w:val="169"/>
        <w:tabs>
          <w:tab w:val="left" w:pos="1149"/>
        </w:tabs>
        <w:spacing w:before="161"/>
        <w:ind w:left="895" w:firstLine="0" w:firstLineChars="0"/>
        <w:jc w:val="left"/>
        <w:rPr>
          <w:rFonts w:asciiTheme="minorEastAsia" w:hAnsiTheme="minorEastAsia" w:eastAsiaTheme="minorEastAsia" w:cstheme="minorEastAsia"/>
          <w:kern w:val="0"/>
          <w:sz w:val="24"/>
          <w:szCs w:val="24"/>
        </w:rPr>
      </w:pPr>
    </w:p>
    <w:p>
      <w:pPr>
        <w:pStyle w:val="2"/>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pStyle w:val="170"/>
        <w:spacing w:before="156" w:after="312"/>
        <w:rPr>
          <w:szCs w:val="24"/>
        </w:rPr>
        <w:sectPr>
          <w:pgSz w:w="11906" w:h="16838"/>
          <w:pgMar w:top="1247" w:right="1134" w:bottom="1712" w:left="1304" w:header="567" w:footer="1077" w:gutter="0"/>
          <w:pgBorders>
            <w:top w:val="none" w:sz="0" w:space="0"/>
            <w:left w:val="none" w:sz="0" w:space="0"/>
            <w:bottom w:val="none" w:sz="0" w:space="0"/>
            <w:right w:val="none" w:sz="0" w:space="0"/>
          </w:pgBorders>
          <w:cols w:space="720" w:num="1"/>
          <w:docGrid w:type="lines" w:linePitch="312" w:charSpace="0"/>
        </w:sectPr>
      </w:pPr>
    </w:p>
    <w:p>
      <w:pPr>
        <w:spacing w:before="58"/>
        <w:jc w:val="center"/>
        <w:outlineLvl w:val="1"/>
        <w:rPr>
          <w:rFonts w:asciiTheme="minorEastAsia" w:hAnsiTheme="minorEastAsia" w:eastAsiaTheme="minorEastAsia" w:cstheme="minorEastAsia"/>
          <w:b/>
          <w:sz w:val="30"/>
        </w:rPr>
      </w:pPr>
      <w:bookmarkStart w:id="244" w:name="_Toc31135"/>
      <w:bookmarkStart w:id="245" w:name="_Toc19948"/>
      <w:bookmarkStart w:id="246" w:name="_Toc10610"/>
      <w:bookmarkStart w:id="247" w:name="_Toc17441"/>
      <w:bookmarkStart w:id="248" w:name="_Toc10394"/>
      <w:r>
        <w:rPr>
          <w:rFonts w:hint="eastAsia" w:asciiTheme="minorEastAsia" w:hAnsiTheme="minorEastAsia" w:eastAsiaTheme="minorEastAsia" w:cstheme="minorEastAsia"/>
          <w:b/>
          <w:sz w:val="30"/>
        </w:rPr>
        <w:t>（三）投标分项报价表</w:t>
      </w:r>
      <w:bookmarkEnd w:id="244"/>
      <w:bookmarkEnd w:id="245"/>
      <w:bookmarkEnd w:id="246"/>
      <w:bookmarkEnd w:id="247"/>
    </w:p>
    <w:p>
      <w:pPr>
        <w:ind w:firstLine="1050" w:firstLineChars="500"/>
        <w:rPr>
          <w:iCs/>
        </w:rPr>
      </w:pPr>
    </w:p>
    <w:p>
      <w:pPr>
        <w:rPr>
          <w:iCs/>
        </w:rPr>
      </w:pPr>
    </w:p>
    <w:p>
      <w:pPr>
        <w:widowControl/>
        <w:ind w:firstLine="1200" w:firstLineChars="500"/>
        <w:jc w:val="left"/>
        <w:textAlignment w:val="center"/>
        <w:rPr>
          <w:iCs/>
          <w:sz w:val="24"/>
        </w:rPr>
      </w:pPr>
      <w:r>
        <w:rPr>
          <w:rFonts w:hint="eastAsia" w:asciiTheme="minorEastAsia" w:hAnsiTheme="minorEastAsia" w:eastAsiaTheme="minorEastAsia" w:cstheme="minorEastAsia"/>
          <w:iCs/>
          <w:kern w:val="0"/>
          <w:sz w:val="24"/>
        </w:rPr>
        <w:t>项目编号：</w:t>
      </w:r>
      <w:r>
        <w:rPr>
          <w:rFonts w:hint="eastAsia" w:asciiTheme="minorEastAsia" w:hAnsiTheme="minorEastAsia" w:eastAsiaTheme="minorEastAsia" w:cstheme="minorEastAsia"/>
          <w:iCs/>
          <w:kern w:val="0"/>
          <w:sz w:val="24"/>
          <w:u w:val="single"/>
        </w:rPr>
        <w:t xml:space="preserve">                            </w:t>
      </w:r>
      <w:r>
        <w:rPr>
          <w:rFonts w:hint="eastAsia" w:asciiTheme="minorEastAsia" w:hAnsiTheme="minorEastAsia" w:eastAsiaTheme="minorEastAsia" w:cstheme="minorEastAsia"/>
          <w:iCs/>
          <w:kern w:val="0"/>
          <w:sz w:val="24"/>
        </w:rPr>
        <w:t xml:space="preserve">                                项目名称：</w:t>
      </w:r>
      <w:r>
        <w:rPr>
          <w:rFonts w:hint="eastAsia" w:asciiTheme="minorEastAsia" w:hAnsiTheme="minorEastAsia" w:eastAsiaTheme="minorEastAsia" w:cstheme="minorEastAsia"/>
          <w:iCs/>
          <w:kern w:val="0"/>
          <w:sz w:val="24"/>
          <w:u w:val="single"/>
        </w:rPr>
        <w:t xml:space="preserve">                            </w:t>
      </w:r>
    </w:p>
    <w:p>
      <w:pPr>
        <w:bidi w:val="0"/>
        <w:rPr>
          <w:rFonts w:hint="eastAsia"/>
          <w:lang w:val="en-US" w:eastAsia="zh-CN"/>
        </w:rPr>
      </w:pPr>
    </w:p>
    <w:p>
      <w:pPr>
        <w:pStyle w:val="2"/>
        <w:spacing w:before="66"/>
        <w:ind w:left="896"/>
        <w:rPr>
          <w:rFonts w:hint="default" w:asciiTheme="minorEastAsia" w:hAnsiTheme="minorEastAsia" w:eastAsiaTheme="minorEastAsia" w:cstheme="minorEastAsia"/>
          <w:kern w:val="0"/>
          <w:lang w:val="en-US" w:eastAsia="zh-CN"/>
        </w:rPr>
      </w:pPr>
      <w:r>
        <w:rPr>
          <w:rFonts w:hint="eastAsia" w:asciiTheme="minorEastAsia" w:hAnsiTheme="minorEastAsia" w:eastAsiaTheme="minorEastAsia" w:cstheme="minorEastAsia"/>
          <w:kern w:val="0"/>
          <w:lang w:val="en-US" w:eastAsia="zh-CN"/>
        </w:rPr>
        <w:t>根据项目清单编制。</w:t>
      </w:r>
    </w:p>
    <w:p>
      <w:pPr>
        <w:pStyle w:val="2"/>
        <w:spacing w:before="66"/>
        <w:ind w:left="896"/>
        <w:rPr>
          <w:rFonts w:hint="eastAsia" w:asciiTheme="minorEastAsia" w:hAnsiTheme="minorEastAsia" w:eastAsiaTheme="minorEastAsia" w:cstheme="minorEastAsia"/>
          <w:kern w:val="0"/>
        </w:rPr>
      </w:pPr>
    </w:p>
    <w:p>
      <w:pPr>
        <w:pStyle w:val="2"/>
        <w:spacing w:before="66"/>
        <w:ind w:left="896"/>
        <w:rPr>
          <w:rFonts w:hint="eastAsia" w:asciiTheme="minorEastAsia" w:hAnsiTheme="minorEastAsia" w:eastAsiaTheme="minorEastAsia" w:cstheme="minorEastAsia"/>
          <w:kern w:val="0"/>
        </w:rPr>
      </w:pP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注：</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1、</w:t>
      </w:r>
      <w:r>
        <w:rPr>
          <w:rFonts w:hint="eastAsia" w:asciiTheme="minorEastAsia" w:hAnsiTheme="minorEastAsia" w:eastAsiaTheme="minorEastAsia" w:cstheme="minorEastAsia"/>
          <w:kern w:val="0"/>
          <w:lang w:eastAsia="zh-CN"/>
        </w:rPr>
        <w:t>供应商</w:t>
      </w:r>
      <w:r>
        <w:rPr>
          <w:rFonts w:hint="eastAsia" w:asciiTheme="minorEastAsia" w:hAnsiTheme="minorEastAsia" w:eastAsiaTheme="minorEastAsia" w:cstheme="minorEastAsia"/>
          <w:kern w:val="0"/>
        </w:rPr>
        <w:t>应按“分项报价表”的格式详细报出投标总价的各个组成部分的报价。</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2、同一合同包中，全部品目号的合计金额应与《</w:t>
      </w:r>
      <w:r>
        <w:rPr>
          <w:rFonts w:hint="eastAsia" w:asciiTheme="minorEastAsia" w:hAnsiTheme="minorEastAsia" w:eastAsiaTheme="minorEastAsia" w:cstheme="minorEastAsia"/>
          <w:kern w:val="0"/>
          <w:lang w:val="en-US" w:eastAsia="zh-CN"/>
        </w:rPr>
        <w:t>磋商函附录</w:t>
      </w:r>
      <w:r>
        <w:rPr>
          <w:rFonts w:hint="eastAsia" w:asciiTheme="minorEastAsia" w:hAnsiTheme="minorEastAsia" w:eastAsiaTheme="minorEastAsia" w:cstheme="minorEastAsia"/>
          <w:kern w:val="0"/>
        </w:rPr>
        <w:t>》中相应合同包列示的“投标总价”保持一致。</w:t>
      </w:r>
    </w:p>
    <w:p>
      <w:pPr>
        <w:pStyle w:val="2"/>
        <w:spacing w:before="66"/>
        <w:ind w:left="896"/>
        <w:rPr>
          <w:rFonts w:asciiTheme="minorEastAsia" w:hAnsiTheme="minorEastAsia" w:eastAsiaTheme="minorEastAsia" w:cstheme="minorEastAsia"/>
          <w:kern w:val="0"/>
        </w:rPr>
      </w:pPr>
    </w:p>
    <w:p>
      <w:pPr>
        <w:pStyle w:val="2"/>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i/>
          <w:iCs/>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widowControl/>
        <w:spacing w:before="120" w:after="120"/>
        <w:jc w:val="left"/>
        <w:rPr>
          <w:sz w:val="24"/>
        </w:rPr>
        <w:sectPr>
          <w:endnotePr>
            <w:numFmt w:val="decimal"/>
          </w:endnotePr>
          <w:pgSz w:w="16840" w:h="11907"/>
          <w:pgMar w:top="720" w:right="720" w:bottom="720" w:left="720" w:header="851" w:footer="992" w:gutter="0"/>
          <w:pgBorders>
            <w:top w:val="none" w:sz="0" w:space="0"/>
            <w:left w:val="none" w:sz="0" w:space="0"/>
            <w:bottom w:val="none" w:sz="0" w:space="0"/>
            <w:right w:val="none" w:sz="0" w:space="0"/>
          </w:pgBorders>
          <w:cols w:space="720" w:num="1"/>
          <w:docGrid w:linePitch="286" w:charSpace="0"/>
        </w:sectPr>
      </w:pPr>
    </w:p>
    <w:bookmarkEnd w:id="248"/>
    <w:p>
      <w:pPr>
        <w:spacing w:before="58"/>
        <w:jc w:val="center"/>
        <w:outlineLvl w:val="0"/>
        <w:rPr>
          <w:rFonts w:asciiTheme="minorEastAsia" w:hAnsiTheme="minorEastAsia" w:eastAsiaTheme="minorEastAsia" w:cstheme="minorEastAsia"/>
          <w:b/>
          <w:sz w:val="30"/>
        </w:rPr>
      </w:pPr>
      <w:bookmarkStart w:id="249" w:name="_Toc671"/>
      <w:bookmarkStart w:id="250" w:name="_Toc123"/>
      <w:bookmarkStart w:id="251" w:name="_Toc19260"/>
      <w:bookmarkStart w:id="252" w:name="_Toc21780"/>
      <w:bookmarkStart w:id="253" w:name="_Toc754"/>
      <w:bookmarkStart w:id="254" w:name="_Toc4119_WPSOffice_Level2"/>
      <w:bookmarkStart w:id="255" w:name="_Toc28637"/>
      <w:bookmarkStart w:id="256" w:name="_Toc11432_WPSOffice_Level2"/>
      <w:bookmarkStart w:id="257" w:name="_Toc4912"/>
      <w:bookmarkStart w:id="258" w:name="_Toc24860"/>
      <w:r>
        <w:rPr>
          <w:rFonts w:hint="eastAsia" w:asciiTheme="minorEastAsia" w:hAnsiTheme="minorEastAsia" w:eastAsiaTheme="minorEastAsia" w:cstheme="minorEastAsia"/>
          <w:b/>
          <w:sz w:val="30"/>
        </w:rPr>
        <w:t>三、商务部分</w:t>
      </w:r>
      <w:bookmarkEnd w:id="249"/>
      <w:bookmarkEnd w:id="250"/>
      <w:bookmarkEnd w:id="251"/>
      <w:bookmarkEnd w:id="252"/>
      <w:bookmarkEnd w:id="253"/>
    </w:p>
    <w:p>
      <w:pPr>
        <w:spacing w:before="58"/>
        <w:jc w:val="center"/>
        <w:outlineLvl w:val="1"/>
        <w:rPr>
          <w:rFonts w:asciiTheme="minorEastAsia" w:hAnsiTheme="minorEastAsia" w:eastAsiaTheme="minorEastAsia" w:cstheme="minorEastAsia"/>
          <w:b/>
          <w:sz w:val="30"/>
        </w:rPr>
      </w:pPr>
      <w:bookmarkStart w:id="259" w:name="_Toc5157"/>
      <w:bookmarkStart w:id="260" w:name="_Toc31425"/>
      <w:bookmarkStart w:id="261" w:name="_Toc28989"/>
      <w:bookmarkStart w:id="262" w:name="_Toc24330"/>
      <w:bookmarkStart w:id="263" w:name="_Toc6889"/>
      <w:r>
        <w:rPr>
          <w:rFonts w:hint="eastAsia" w:asciiTheme="minorEastAsia" w:hAnsiTheme="minorEastAsia" w:eastAsiaTheme="minorEastAsia" w:cstheme="minorEastAsia"/>
          <w:b/>
          <w:sz w:val="30"/>
        </w:rPr>
        <w:t>（一）法定代表人身份证明书</w:t>
      </w:r>
      <w:bookmarkEnd w:id="259"/>
      <w:bookmarkEnd w:id="260"/>
      <w:bookmarkEnd w:id="261"/>
      <w:bookmarkEnd w:id="262"/>
      <w:bookmarkEnd w:id="263"/>
    </w:p>
    <w:bookmarkEnd w:id="254"/>
    <w:bookmarkEnd w:id="255"/>
    <w:bookmarkEnd w:id="256"/>
    <w:bookmarkEnd w:id="257"/>
    <w:bookmarkEnd w:id="258"/>
    <w:p>
      <w:pPr>
        <w:pStyle w:val="55"/>
        <w:spacing w:line="500" w:lineRule="exact"/>
        <w:jc w:val="both"/>
        <w:rPr>
          <w:rFonts w:hint="default" w:ascii="宋体" w:hAnsi="宋体" w:eastAsia="宋体" w:cs="宋体"/>
          <w:color w:val="auto"/>
          <w:sz w:val="22"/>
          <w:szCs w:val="22"/>
        </w:rPr>
      </w:pP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申请人名称：</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单位性质：</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rPr>
      </w:pPr>
      <w:r>
        <w:rPr>
          <w:rFonts w:ascii="宋体" w:hAnsi="宋体" w:eastAsia="宋体" w:cs="宋体"/>
          <w:color w:val="auto"/>
          <w:szCs w:val="24"/>
        </w:rPr>
        <w:t>成立时间：</w:t>
      </w:r>
      <w:r>
        <w:rPr>
          <w:rFonts w:ascii="宋体" w:hAnsi="宋体" w:eastAsia="宋体" w:cs="宋体"/>
          <w:color w:val="auto"/>
          <w:szCs w:val="24"/>
          <w:u w:val="single"/>
        </w:rPr>
        <w:t xml:space="preserve">         </w:t>
      </w:r>
      <w:r>
        <w:rPr>
          <w:rFonts w:ascii="宋体" w:hAnsi="宋体" w:eastAsia="宋体" w:cs="宋体"/>
          <w:color w:val="auto"/>
          <w:szCs w:val="24"/>
        </w:rPr>
        <w:t>年</w:t>
      </w:r>
      <w:r>
        <w:rPr>
          <w:rFonts w:ascii="宋体" w:hAnsi="宋体" w:eastAsia="宋体" w:cs="宋体"/>
          <w:color w:val="auto"/>
          <w:szCs w:val="24"/>
          <w:u w:val="single"/>
        </w:rPr>
        <w:t xml:space="preserve">          </w:t>
      </w:r>
      <w:r>
        <w:rPr>
          <w:rFonts w:ascii="宋体" w:hAnsi="宋体" w:eastAsia="宋体" w:cs="宋体"/>
          <w:color w:val="auto"/>
          <w:szCs w:val="24"/>
        </w:rPr>
        <w:t>月</w:t>
      </w:r>
      <w:r>
        <w:rPr>
          <w:rFonts w:ascii="宋体" w:hAnsi="宋体" w:eastAsia="宋体" w:cs="宋体"/>
          <w:color w:val="auto"/>
          <w:szCs w:val="24"/>
          <w:u w:val="single"/>
        </w:rPr>
        <w:t xml:space="preserve">        </w:t>
      </w:r>
      <w:r>
        <w:rPr>
          <w:rFonts w:ascii="宋体" w:hAnsi="宋体" w:eastAsia="宋体" w:cs="宋体"/>
          <w:color w:val="auto"/>
          <w:szCs w:val="24"/>
        </w:rPr>
        <w:t xml:space="preserve">日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经营期限：</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u w:val="single"/>
        </w:rPr>
      </w:pPr>
      <w:r>
        <w:rPr>
          <w:rFonts w:ascii="宋体" w:hAnsi="宋体" w:eastAsia="宋体" w:cs="宋体"/>
          <w:color w:val="auto"/>
          <w:szCs w:val="24"/>
        </w:rPr>
        <w:t>姓名：</w:t>
      </w:r>
      <w:r>
        <w:rPr>
          <w:rFonts w:ascii="宋体" w:hAnsi="宋体" w:eastAsia="宋体" w:cs="宋体"/>
          <w:color w:val="auto"/>
          <w:szCs w:val="24"/>
          <w:u w:val="single"/>
        </w:rPr>
        <w:t xml:space="preserve">         </w:t>
      </w:r>
      <w:r>
        <w:rPr>
          <w:rFonts w:ascii="宋体" w:hAnsi="宋体" w:eastAsia="宋体" w:cs="宋体"/>
          <w:color w:val="auto"/>
          <w:szCs w:val="24"/>
        </w:rPr>
        <w:t>性别：</w:t>
      </w:r>
      <w:r>
        <w:rPr>
          <w:rFonts w:ascii="宋体" w:hAnsi="宋体" w:eastAsia="宋体" w:cs="宋体"/>
          <w:color w:val="auto"/>
          <w:szCs w:val="24"/>
          <w:u w:val="single"/>
        </w:rPr>
        <w:t xml:space="preserve">         </w:t>
      </w:r>
      <w:r>
        <w:rPr>
          <w:rFonts w:ascii="宋体" w:hAnsi="宋体" w:eastAsia="宋体" w:cs="宋体"/>
          <w:color w:val="auto"/>
          <w:szCs w:val="24"/>
        </w:rPr>
        <w:t>年龄：</w:t>
      </w:r>
      <w:r>
        <w:rPr>
          <w:rFonts w:ascii="宋体" w:hAnsi="宋体" w:eastAsia="宋体" w:cs="宋体"/>
          <w:color w:val="auto"/>
          <w:szCs w:val="24"/>
          <w:u w:val="single"/>
        </w:rPr>
        <w:t xml:space="preserve">         </w:t>
      </w:r>
      <w:r>
        <w:rPr>
          <w:rFonts w:ascii="宋体" w:hAnsi="宋体" w:eastAsia="宋体" w:cs="宋体"/>
          <w:color w:val="auto"/>
          <w:szCs w:val="24"/>
        </w:rPr>
        <w:t>职务：</w:t>
      </w:r>
      <w:r>
        <w:rPr>
          <w:rFonts w:ascii="宋体" w:hAnsi="宋体" w:eastAsia="宋体" w:cs="宋体"/>
          <w:color w:val="auto"/>
          <w:szCs w:val="24"/>
          <w:u w:val="single"/>
        </w:rPr>
        <w:t xml:space="preserve">         </w:t>
      </w:r>
    </w:p>
    <w:p>
      <w:pPr>
        <w:pStyle w:val="55"/>
        <w:spacing w:line="500" w:lineRule="exact"/>
        <w:ind w:firstLine="480"/>
        <w:jc w:val="both"/>
        <w:rPr>
          <w:rFonts w:hint="default" w:ascii="宋体" w:hAnsi="宋体" w:eastAsia="宋体" w:cs="宋体"/>
          <w:color w:val="auto"/>
          <w:szCs w:val="24"/>
        </w:rPr>
      </w:pPr>
      <w:r>
        <w:rPr>
          <w:rFonts w:ascii="宋体" w:hAnsi="宋体" w:eastAsia="宋体" w:cs="宋体"/>
          <w:color w:val="auto"/>
          <w:szCs w:val="24"/>
        </w:rPr>
        <w:t>系</w:t>
      </w:r>
      <w:r>
        <w:rPr>
          <w:rFonts w:ascii="宋体" w:hAnsi="宋体" w:eastAsia="宋体" w:cs="宋体"/>
          <w:color w:val="auto"/>
          <w:szCs w:val="24"/>
          <w:u w:val="single"/>
        </w:rPr>
        <w:t xml:space="preserve">                               </w:t>
      </w:r>
      <w:r>
        <w:rPr>
          <w:rFonts w:ascii="宋体" w:hAnsi="宋体" w:eastAsia="宋体" w:cs="宋体"/>
          <w:color w:val="auto"/>
          <w:szCs w:val="24"/>
        </w:rPr>
        <w:t>（申请人名称）的法定代表人</w:t>
      </w:r>
    </w:p>
    <w:p>
      <w:pPr>
        <w:pStyle w:val="55"/>
        <w:spacing w:line="500" w:lineRule="exact"/>
        <w:ind w:firstLine="480" w:firstLineChars="200"/>
        <w:jc w:val="both"/>
        <w:rPr>
          <w:rFonts w:hint="default" w:ascii="宋体" w:hAnsi="宋体" w:eastAsia="宋体" w:cs="宋体"/>
          <w:color w:val="auto"/>
          <w:szCs w:val="24"/>
        </w:rPr>
      </w:pPr>
      <w:r>
        <w:rPr>
          <w:rFonts w:ascii="宋体" w:hAnsi="宋体" w:eastAsia="宋体" w:cs="宋体"/>
          <w:color w:val="auto"/>
          <w:szCs w:val="24"/>
        </w:rPr>
        <w:t>特此证明。</w:t>
      </w:r>
    </w:p>
    <w:p>
      <w:pPr>
        <w:pStyle w:val="55"/>
        <w:spacing w:line="500" w:lineRule="exact"/>
        <w:ind w:firstLine="480" w:firstLineChars="200"/>
        <w:jc w:val="both"/>
        <w:rPr>
          <w:rFonts w:hint="default" w:ascii="宋体" w:hAnsi="宋体" w:eastAsia="宋体" w:cs="宋体"/>
          <w:color w:val="auto"/>
          <w:szCs w:val="24"/>
        </w:rPr>
      </w:pPr>
    </w:p>
    <w:p>
      <w:pPr>
        <w:pStyle w:val="55"/>
        <w:spacing w:line="500" w:lineRule="exact"/>
        <w:ind w:firstLine="480" w:firstLineChars="200"/>
        <w:jc w:val="both"/>
        <w:rPr>
          <w:rFonts w:hint="default" w:ascii="宋体" w:hAnsi="宋体" w:eastAsia="宋体" w:cs="宋体"/>
          <w:color w:val="auto"/>
          <w:szCs w:val="24"/>
        </w:rPr>
      </w:pPr>
    </w:p>
    <w:p>
      <w:pPr>
        <w:pStyle w:val="55"/>
        <w:spacing w:line="500" w:lineRule="exact"/>
        <w:jc w:val="both"/>
        <w:rPr>
          <w:rFonts w:hint="default" w:ascii="宋体" w:hAnsi="宋体" w:eastAsia="宋体" w:cs="宋体"/>
          <w:color w:val="auto"/>
          <w:szCs w:val="24"/>
          <w:u w:val="single"/>
        </w:rPr>
      </w:pPr>
      <w:r>
        <w:rPr>
          <w:rFonts w:ascii="宋体" w:hAnsi="宋体" w:eastAsia="宋体" w:cs="宋体"/>
          <w:color w:val="auto"/>
          <w:szCs w:val="24"/>
        </w:rPr>
        <w:t xml:space="preserve">                                    供应商名称（签字或盖章）：</w:t>
      </w:r>
      <w:r>
        <w:rPr>
          <w:rFonts w:ascii="宋体" w:hAnsi="宋体" w:eastAsia="宋体" w:cs="宋体"/>
          <w:color w:val="auto"/>
          <w:szCs w:val="24"/>
          <w:u w:val="single"/>
        </w:rPr>
        <w:t xml:space="preserve">            </w:t>
      </w:r>
    </w:p>
    <w:p>
      <w:pPr>
        <w:pStyle w:val="2"/>
        <w:spacing w:before="66"/>
        <w:ind w:left="896"/>
        <w:rPr>
          <w:rFonts w:ascii="宋体" w:hAnsi="宋体" w:cs="宋体"/>
          <w:kern w:val="0"/>
        </w:rPr>
      </w:pPr>
      <w:r>
        <w:rPr>
          <w:rFonts w:hint="eastAsia" w:ascii="宋体" w:hAnsi="宋体" w:cs="宋体"/>
        </w:rPr>
        <w:t xml:space="preserve">                             </w:t>
      </w:r>
      <w:r>
        <w:rPr>
          <w:rFonts w:hint="eastAsia" w:ascii="宋体" w:hAnsi="宋体" w:cs="宋体"/>
          <w:kern w:val="0"/>
        </w:rPr>
        <w:t>时</w:t>
      </w:r>
      <w:r>
        <w:rPr>
          <w:rFonts w:hint="eastAsia" w:ascii="宋体" w:hAnsi="宋体" w:cs="宋体"/>
          <w:kern w:val="0"/>
        </w:rPr>
        <w:tab/>
      </w:r>
      <w:r>
        <w:rPr>
          <w:rFonts w:hint="eastAsia" w:ascii="宋体" w:hAnsi="宋体" w:cs="宋体"/>
          <w:kern w:val="0"/>
        </w:rPr>
        <w:t>间：</w:t>
      </w:r>
      <w:r>
        <w:rPr>
          <w:rFonts w:hint="eastAsia" w:ascii="宋体" w:hAnsi="宋体" w:cs="宋体"/>
          <w:u w:val="single"/>
        </w:rPr>
        <w:t xml:space="preserve">      </w:t>
      </w:r>
      <w:r>
        <w:rPr>
          <w:rFonts w:hint="eastAsia" w:ascii="宋体" w:hAnsi="宋体" w:cs="宋体"/>
          <w:kern w:val="0"/>
        </w:rPr>
        <w:t>年</w:t>
      </w:r>
      <w:r>
        <w:rPr>
          <w:rFonts w:hint="eastAsia" w:ascii="宋体" w:hAnsi="宋体" w:cs="宋体"/>
          <w:u w:val="single"/>
        </w:rPr>
        <w:t xml:space="preserve">      </w:t>
      </w:r>
      <w:r>
        <w:rPr>
          <w:rFonts w:hint="eastAsia" w:ascii="宋体" w:hAnsi="宋体" w:cs="宋体"/>
          <w:kern w:val="0"/>
        </w:rPr>
        <w:t>月</w:t>
      </w:r>
      <w:r>
        <w:rPr>
          <w:rFonts w:hint="eastAsia" w:ascii="宋体" w:hAnsi="宋体" w:cs="宋体"/>
          <w:u w:val="single"/>
        </w:rPr>
        <w:t xml:space="preserve">      </w:t>
      </w:r>
      <w:r>
        <w:rPr>
          <w:rFonts w:hint="eastAsia" w:ascii="宋体" w:hAnsi="宋体" w:cs="宋体"/>
          <w:kern w:val="0"/>
        </w:rPr>
        <w:t>日</w:t>
      </w:r>
    </w:p>
    <w:p>
      <w:pPr>
        <w:autoSpaceDE w:val="0"/>
        <w:autoSpaceDN w:val="0"/>
        <w:adjustRightInd w:val="0"/>
        <w:spacing w:line="360" w:lineRule="auto"/>
        <w:rPr>
          <w:rFonts w:ascii="宋体" w:hAnsi="宋体" w:cs="宋体"/>
          <w:kern w:val="0"/>
          <w:sz w:val="24"/>
        </w:rPr>
      </w:pPr>
    </w:p>
    <w:tbl>
      <w:tblPr>
        <w:tblStyle w:val="4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8" w:hRule="atLeast"/>
          <w:jc w:val="center"/>
        </w:trPr>
        <w:tc>
          <w:tcPr>
            <w:tcW w:w="9071" w:type="dxa"/>
          </w:tcPr>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法定代表人身份证</w:t>
            </w:r>
            <w:r>
              <w:rPr>
                <w:rFonts w:hint="eastAsia" w:ascii="宋体" w:hAnsi="宋体" w:cs="宋体"/>
                <w:kern w:val="0"/>
                <w:sz w:val="24"/>
              </w:rPr>
              <w:t>（双面复印件）：</w:t>
            </w:r>
          </w:p>
          <w:p>
            <w:pPr>
              <w:spacing w:line="360" w:lineRule="auto"/>
              <w:rPr>
                <w:rFonts w:ascii="宋体" w:hAnsi="宋体" w:cs="宋体"/>
                <w:sz w:val="24"/>
              </w:rPr>
            </w:pPr>
          </w:p>
        </w:tc>
      </w:tr>
    </w:tbl>
    <w:p>
      <w:pPr>
        <w:spacing w:line="360" w:lineRule="auto"/>
        <w:ind w:left="165" w:leftChars="-152" w:hanging="484" w:hangingChars="202"/>
        <w:rPr>
          <w:rFonts w:ascii="宋体" w:hAnsi="宋体" w:cs="宋体"/>
          <w:kern w:val="0"/>
          <w:sz w:val="24"/>
        </w:rPr>
      </w:pPr>
    </w:p>
    <w:p>
      <w:pPr>
        <w:spacing w:line="360" w:lineRule="auto"/>
        <w:ind w:left="103" w:leftChars="49"/>
        <w:rPr>
          <w:rFonts w:ascii="宋体" w:hAnsi="宋体" w:cs="宋体"/>
          <w:kern w:val="0"/>
          <w:sz w:val="24"/>
        </w:rPr>
      </w:pPr>
      <w:r>
        <w:rPr>
          <w:rFonts w:hint="eastAsia" w:ascii="宋体" w:hAnsi="宋体" w:cs="宋体"/>
          <w:kern w:val="0"/>
          <w:sz w:val="24"/>
        </w:rPr>
        <w:t>注：</w:t>
      </w:r>
    </w:p>
    <w:p>
      <w:pPr>
        <w:spacing w:line="360" w:lineRule="auto"/>
        <w:ind w:left="107" w:leftChars="51" w:firstLine="240" w:firstLineChars="100"/>
        <w:rPr>
          <w:rFonts w:ascii="宋体" w:hAnsi="宋体" w:cs="宋体"/>
          <w:kern w:val="0"/>
          <w:sz w:val="24"/>
        </w:rPr>
      </w:pPr>
      <w:r>
        <w:rPr>
          <w:rFonts w:hint="eastAsia" w:ascii="宋体" w:hAnsi="宋体" w:cs="宋体"/>
          <w:kern w:val="0"/>
          <w:sz w:val="24"/>
        </w:rPr>
        <w:t>1.本表适用于供应商不授权代理人，而由法定代表人直接参加投标并签署投标文件的情况；</w:t>
      </w:r>
    </w:p>
    <w:p>
      <w:pPr>
        <w:spacing w:line="360" w:lineRule="auto"/>
        <w:ind w:left="164" w:leftChars="-148" w:hanging="475" w:hangingChars="198"/>
        <w:jc w:val="center"/>
        <w:rPr>
          <w:rFonts w:ascii="宋体" w:hAnsi="宋体"/>
          <w:kern w:val="0"/>
          <w:szCs w:val="21"/>
        </w:rPr>
      </w:pPr>
      <w:r>
        <w:rPr>
          <w:rFonts w:hint="eastAsia" w:ascii="宋体" w:hAnsi="宋体" w:cs="宋体"/>
          <w:kern w:val="0"/>
          <w:sz w:val="24"/>
        </w:rPr>
        <w:t>2.如供应商具有企业法人代表证书，则还应在本证明书后附上企业法人代表证书复印件。</w:t>
      </w:r>
      <w:r>
        <w:rPr>
          <w:rFonts w:ascii="宋体" w:hAnsi="宋体"/>
          <w:kern w:val="0"/>
          <w:szCs w:val="21"/>
        </w:rPr>
        <w:br w:type="page"/>
      </w:r>
      <w:bookmarkStart w:id="264" w:name="_Toc31471"/>
      <w:bookmarkStart w:id="265" w:name="_Toc4618597"/>
    </w:p>
    <w:p>
      <w:pPr>
        <w:spacing w:before="58"/>
        <w:jc w:val="center"/>
        <w:outlineLvl w:val="1"/>
        <w:rPr>
          <w:rFonts w:asciiTheme="minorEastAsia" w:hAnsiTheme="minorEastAsia" w:eastAsiaTheme="minorEastAsia" w:cstheme="minorEastAsia"/>
          <w:b/>
          <w:sz w:val="30"/>
        </w:rPr>
      </w:pPr>
      <w:bookmarkStart w:id="266" w:name="_Toc12760"/>
      <w:bookmarkStart w:id="267" w:name="_Toc1633"/>
      <w:bookmarkStart w:id="268" w:name="_Toc16484"/>
      <w:bookmarkStart w:id="269" w:name="_Toc19346"/>
      <w:bookmarkStart w:id="270" w:name="_Toc27584"/>
      <w:r>
        <w:rPr>
          <w:rFonts w:hint="eastAsia" w:asciiTheme="minorEastAsia" w:hAnsiTheme="minorEastAsia" w:eastAsiaTheme="minorEastAsia" w:cstheme="minorEastAsia"/>
          <w:b/>
          <w:sz w:val="30"/>
        </w:rPr>
        <w:t>（二）法人授权委托书</w:t>
      </w:r>
      <w:bookmarkEnd w:id="266"/>
      <w:bookmarkEnd w:id="267"/>
      <w:bookmarkEnd w:id="268"/>
      <w:bookmarkEnd w:id="269"/>
      <w:bookmarkEnd w:id="270"/>
    </w:p>
    <w:p>
      <w:pPr>
        <w:spacing w:line="360" w:lineRule="auto"/>
        <w:ind w:left="124" w:leftChars="-148" w:hanging="435" w:hangingChars="198"/>
        <w:jc w:val="center"/>
        <w:rPr>
          <w:rFonts w:ascii="宋体" w:hAnsi="宋体" w:cs="宋体"/>
          <w:kern w:val="0"/>
          <w:sz w:val="22"/>
          <w:szCs w:val="22"/>
        </w:rPr>
      </w:pPr>
    </w:p>
    <w:bookmarkEnd w:id="264"/>
    <w:bookmarkEnd w:id="265"/>
    <w:p>
      <w:pPr>
        <w:spacing w:line="440" w:lineRule="exact"/>
        <w:rPr>
          <w:rFonts w:ascii="宋体" w:hAnsi="宋体" w:cs="宋体"/>
          <w:sz w:val="24"/>
        </w:rPr>
      </w:pPr>
      <w:r>
        <w:rPr>
          <w:rFonts w:hint="eastAsia" w:ascii="宋体" w:hAnsi="宋体" w:cs="宋体"/>
          <w:sz w:val="24"/>
          <w:u w:val="single"/>
        </w:rPr>
        <w:t xml:space="preserve">  （采购人）                             </w:t>
      </w:r>
      <w:r>
        <w:rPr>
          <w:rFonts w:hint="eastAsia" w:ascii="宋体" w:hAnsi="宋体" w:cs="宋体"/>
          <w:sz w:val="24"/>
        </w:rPr>
        <w:t>：</w:t>
      </w:r>
    </w:p>
    <w:p>
      <w:pPr>
        <w:spacing w:line="440" w:lineRule="exact"/>
        <w:ind w:firstLine="555"/>
        <w:rPr>
          <w:rFonts w:ascii="宋体" w:hAnsi="宋体" w:cs="宋体"/>
          <w:sz w:val="24"/>
        </w:rPr>
      </w:pPr>
      <w:r>
        <w:rPr>
          <w:rFonts w:hint="eastAsia" w:ascii="宋体" w:hAnsi="宋体" w:cs="宋体"/>
          <w:sz w:val="24"/>
        </w:rPr>
        <w:t>本授权委托书声明：现授权委托</w:t>
      </w:r>
      <w:r>
        <w:rPr>
          <w:rFonts w:hint="eastAsia" w:ascii="宋体" w:hAnsi="宋体" w:cs="宋体"/>
          <w:sz w:val="24"/>
          <w:u w:val="single"/>
        </w:rPr>
        <w:t xml:space="preserve">              （姓名）</w:t>
      </w:r>
      <w:r>
        <w:rPr>
          <w:rFonts w:hint="eastAsia" w:ascii="宋体" w:hAnsi="宋体" w:cs="宋体"/>
          <w:sz w:val="24"/>
        </w:rPr>
        <w:t>为我公司代理人，以本公司的名义参加贵单位组织的                  项目采购活动。该代理人将全权负责处理我公司在该项目采购活动及合同</w:t>
      </w:r>
      <w:r>
        <w:rPr>
          <w:rFonts w:hint="eastAsia" w:ascii="宋体" w:hAnsi="宋体" w:cs="宋体"/>
          <w:sz w:val="24"/>
          <w:lang w:val="en-US" w:eastAsia="zh-CN"/>
        </w:rPr>
        <w:t>磋商</w:t>
      </w:r>
      <w:r>
        <w:rPr>
          <w:rFonts w:hint="eastAsia" w:ascii="宋体" w:hAnsi="宋体" w:cs="宋体"/>
          <w:sz w:val="24"/>
        </w:rPr>
        <w:t>过程中的一切事务，其所签署的一切文书，我均予以承认。</w:t>
      </w:r>
    </w:p>
    <w:p>
      <w:pPr>
        <w:spacing w:line="440" w:lineRule="exact"/>
        <w:ind w:firstLine="555"/>
        <w:rPr>
          <w:rFonts w:ascii="宋体" w:hAnsi="宋体" w:cs="宋体"/>
          <w:sz w:val="24"/>
        </w:rPr>
      </w:pPr>
    </w:p>
    <w:p>
      <w:pPr>
        <w:spacing w:line="440" w:lineRule="exact"/>
        <w:ind w:firstLine="555"/>
        <w:rPr>
          <w:rFonts w:ascii="宋体" w:hAnsi="宋体" w:cs="宋体"/>
          <w:sz w:val="24"/>
        </w:rPr>
      </w:pPr>
      <w:r>
        <w:rPr>
          <w:rFonts w:hint="eastAsia" w:ascii="宋体" w:hAnsi="宋体" w:cs="宋体"/>
          <w:sz w:val="24"/>
        </w:rPr>
        <w:t xml:space="preserve">该代理人无转委托权。特此委托。 </w:t>
      </w:r>
    </w:p>
    <w:p>
      <w:pPr>
        <w:spacing w:line="440" w:lineRule="exact"/>
        <w:rPr>
          <w:rFonts w:ascii="宋体" w:hAnsi="宋体" w:cs="宋体"/>
          <w:sz w:val="24"/>
        </w:rPr>
      </w:pPr>
    </w:p>
    <w:p>
      <w:pPr>
        <w:spacing w:line="440" w:lineRule="exact"/>
        <w:rPr>
          <w:rFonts w:ascii="宋体" w:hAnsi="宋体" w:cs="宋体"/>
          <w:sz w:val="24"/>
        </w:rPr>
      </w:pPr>
    </w:p>
    <w:p>
      <w:pPr>
        <w:spacing w:line="440" w:lineRule="exact"/>
        <w:rPr>
          <w:rFonts w:ascii="宋体" w:hAnsi="宋体" w:cs="宋体"/>
          <w:sz w:val="24"/>
          <w:u w:val="single"/>
        </w:rPr>
      </w:pPr>
      <w:r>
        <w:rPr>
          <w:rFonts w:hint="eastAsia" w:ascii="宋体" w:hAnsi="宋体" w:cs="宋体"/>
          <w:sz w:val="24"/>
        </w:rPr>
        <w:t>代理人（签字）：</w:t>
      </w:r>
      <w:r>
        <w:rPr>
          <w:rFonts w:hint="eastAsia" w:ascii="宋体" w:hAnsi="宋体" w:cs="宋体"/>
          <w:sz w:val="24"/>
          <w:u w:val="single"/>
        </w:rPr>
        <w:t xml:space="preserve">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p>
    <w:p>
      <w:pPr>
        <w:spacing w:line="440" w:lineRule="exact"/>
        <w:rPr>
          <w:rFonts w:ascii="宋体" w:hAnsi="宋体" w:cs="宋体"/>
          <w:sz w:val="24"/>
        </w:rPr>
      </w:pPr>
      <w:r>
        <w:rPr>
          <w:rFonts w:hint="eastAsia" w:ascii="宋体" w:hAnsi="宋体" w:cs="宋体"/>
          <w:sz w:val="24"/>
        </w:rPr>
        <w:t>身份证号码：</w:t>
      </w:r>
      <w:r>
        <w:rPr>
          <w:rFonts w:hint="eastAsia" w:ascii="宋体" w:hAnsi="宋体" w:cs="宋体"/>
          <w:sz w:val="24"/>
          <w:u w:val="single"/>
        </w:rPr>
        <w:t xml:space="preserve">                   </w:t>
      </w:r>
      <w:r>
        <w:rPr>
          <w:rFonts w:hint="eastAsia" w:ascii="宋体" w:hAnsi="宋体" w:cs="宋体"/>
          <w:sz w:val="24"/>
        </w:rPr>
        <w:t xml:space="preserve"> </w:t>
      </w:r>
    </w:p>
    <w:p>
      <w:pPr>
        <w:spacing w:line="440" w:lineRule="exact"/>
        <w:rPr>
          <w:rFonts w:ascii="宋体" w:hAnsi="宋体" w:cs="宋体"/>
          <w:sz w:val="24"/>
        </w:rPr>
      </w:pPr>
      <w:r>
        <w:rPr>
          <w:rFonts w:hint="eastAsia" w:ascii="宋体" w:hAnsi="宋体" w:cs="宋体"/>
          <w:sz w:val="24"/>
        </w:rPr>
        <w:t xml:space="preserve"> </w:t>
      </w:r>
    </w:p>
    <w:p>
      <w:pPr>
        <w:pStyle w:val="2"/>
        <w:rPr>
          <w:rFonts w:ascii="宋体" w:hAnsi="宋体" w:cs="宋体"/>
        </w:rPr>
      </w:pPr>
    </w:p>
    <w:tbl>
      <w:tblPr>
        <w:tblStyle w:val="4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9071" w:type="dxa"/>
          </w:tcPr>
          <w:p>
            <w:pPr>
              <w:spacing w:line="360" w:lineRule="auto"/>
              <w:rPr>
                <w:rFonts w:ascii="宋体" w:hAnsi="宋体" w:cs="宋体"/>
                <w:sz w:val="24"/>
              </w:rPr>
            </w:pPr>
            <w:r>
              <w:rPr>
                <w:rFonts w:hint="eastAsia" w:ascii="宋体" w:hAnsi="宋体" w:cs="宋体"/>
                <w:sz w:val="24"/>
              </w:rPr>
              <w:br w:type="page"/>
            </w:r>
          </w:p>
          <w:p>
            <w:pPr>
              <w:spacing w:line="360" w:lineRule="auto"/>
              <w:rPr>
                <w:rFonts w:ascii="宋体" w:hAnsi="宋体" w:cs="宋体"/>
                <w:sz w:val="24"/>
              </w:rPr>
            </w:pPr>
            <w:r>
              <w:rPr>
                <w:rFonts w:hint="eastAsia" w:ascii="宋体" w:hAnsi="宋体" w:cs="宋体"/>
                <w:kern w:val="0"/>
                <w:sz w:val="24"/>
              </w:rPr>
              <w:t>被授权人身份证（双面复印件）：</w:t>
            </w:r>
          </w:p>
          <w:p>
            <w:pPr>
              <w:spacing w:line="360" w:lineRule="auto"/>
              <w:rPr>
                <w:rFonts w:ascii="宋体" w:hAnsi="宋体" w:cs="宋体"/>
                <w:sz w:val="24"/>
              </w:rPr>
            </w:pPr>
          </w:p>
        </w:tc>
      </w:tr>
    </w:tbl>
    <w:p>
      <w:pPr>
        <w:adjustRightInd w:val="0"/>
        <w:snapToGrid w:val="0"/>
        <w:spacing w:line="500" w:lineRule="exact"/>
        <w:rPr>
          <w:rFonts w:ascii="宋体" w:hAnsi="宋体" w:cs="宋体"/>
          <w:b/>
          <w:bCs/>
          <w:sz w:val="24"/>
        </w:rPr>
      </w:pPr>
    </w:p>
    <w:p>
      <w:pPr>
        <w:pStyle w:val="2"/>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4"/>
        </w:rPr>
      </w:pPr>
    </w:p>
    <w:p>
      <w:pPr>
        <w:adjustRightInd w:val="0"/>
        <w:snapToGrid w:val="0"/>
        <w:spacing w:line="560" w:lineRule="exact"/>
        <w:rPr>
          <w:bCs/>
          <w:sz w:val="24"/>
        </w:rPr>
      </w:pPr>
    </w:p>
    <w:p>
      <w:pPr>
        <w:adjustRightInd w:val="0"/>
        <w:snapToGrid w:val="0"/>
        <w:spacing w:line="560" w:lineRule="exact"/>
        <w:rPr>
          <w:bCs/>
          <w:sz w:val="24"/>
        </w:rPr>
      </w:pPr>
    </w:p>
    <w:p>
      <w:r>
        <w:rPr>
          <w:rFonts w:hint="eastAsia"/>
        </w:rPr>
        <w:br w:type="page"/>
      </w:r>
    </w:p>
    <w:p>
      <w:pPr>
        <w:spacing w:before="58"/>
        <w:jc w:val="center"/>
        <w:outlineLvl w:val="1"/>
        <w:rPr>
          <w:rFonts w:asciiTheme="minorEastAsia" w:hAnsiTheme="minorEastAsia" w:eastAsiaTheme="minorEastAsia" w:cstheme="minorEastAsia"/>
          <w:b/>
          <w:sz w:val="30"/>
        </w:rPr>
      </w:pPr>
      <w:bookmarkStart w:id="271" w:name="_Toc1810"/>
      <w:bookmarkStart w:id="272" w:name="_Toc25481"/>
      <w:bookmarkStart w:id="273" w:name="_Toc11917"/>
      <w:bookmarkStart w:id="274" w:name="_Toc22122"/>
      <w:bookmarkStart w:id="275" w:name="_Toc29871"/>
      <w:bookmarkStart w:id="276" w:name="_Toc9243"/>
      <w:bookmarkStart w:id="277" w:name="_Toc5617"/>
      <w:bookmarkStart w:id="278" w:name="_Toc29150"/>
      <w:r>
        <w:rPr>
          <w:rFonts w:hint="eastAsia" w:asciiTheme="minorEastAsia" w:hAnsiTheme="minorEastAsia" w:eastAsiaTheme="minorEastAsia" w:cstheme="minorEastAsia"/>
          <w:b/>
          <w:sz w:val="30"/>
        </w:rPr>
        <w:t>（三）资格证明文件</w:t>
      </w:r>
      <w:bookmarkEnd w:id="271"/>
      <w:bookmarkEnd w:id="272"/>
      <w:bookmarkEnd w:id="273"/>
      <w:bookmarkEnd w:id="274"/>
      <w:bookmarkEnd w:id="275"/>
    </w:p>
    <w:bookmarkEnd w:id="276"/>
    <w:bookmarkEnd w:id="277"/>
    <w:bookmarkEnd w:id="278"/>
    <w:p>
      <w:pPr>
        <w:rPr>
          <w:b/>
          <w:bCs/>
        </w:rPr>
      </w:pPr>
      <w:bookmarkStart w:id="279" w:name="_Toc29503"/>
    </w:p>
    <w:p>
      <w:pPr>
        <w:spacing w:before="78" w:line="357" w:lineRule="auto"/>
        <w:ind w:left="37" w:right="30" w:firstLine="479"/>
        <w:rPr>
          <w:rFonts w:ascii="宋体" w:hAnsi="宋体" w:cs="宋体"/>
          <w:sz w:val="24"/>
        </w:rPr>
      </w:pPr>
      <w:r>
        <w:rPr>
          <w:rFonts w:ascii="宋体" w:hAnsi="宋体" w:cs="宋体"/>
          <w:spacing w:val="-6"/>
          <w:sz w:val="24"/>
        </w:rPr>
        <w:t>供应商按</w:t>
      </w:r>
      <w:r>
        <w:rPr>
          <w:rFonts w:hint="eastAsia" w:ascii="宋体" w:hAnsi="宋体" w:cs="宋体"/>
          <w:spacing w:val="-6"/>
          <w:sz w:val="24"/>
          <w:lang w:eastAsia="zh-CN"/>
        </w:rPr>
        <w:t>磋商文件</w:t>
      </w:r>
      <w:r>
        <w:rPr>
          <w:rFonts w:ascii="宋体" w:hAnsi="宋体" w:cs="宋体"/>
          <w:spacing w:val="-6"/>
          <w:sz w:val="24"/>
        </w:rPr>
        <w:t>第</w:t>
      </w:r>
      <w:r>
        <w:rPr>
          <w:rFonts w:hint="eastAsia" w:ascii="宋体" w:hAnsi="宋体" w:cs="宋体"/>
          <w:spacing w:val="-6"/>
          <w:sz w:val="24"/>
          <w:lang w:val="en-US" w:eastAsia="zh-CN"/>
        </w:rPr>
        <w:t>五</w:t>
      </w:r>
      <w:r>
        <w:rPr>
          <w:rFonts w:ascii="宋体" w:hAnsi="宋体" w:cs="宋体"/>
          <w:spacing w:val="-6"/>
          <w:sz w:val="24"/>
        </w:rPr>
        <w:t>章附</w:t>
      </w:r>
      <w:r>
        <w:rPr>
          <w:rFonts w:hint="eastAsia" w:ascii="宋体" w:hAnsi="宋体" w:cs="宋体"/>
          <w:spacing w:val="-6"/>
          <w:sz w:val="24"/>
          <w:lang w:val="en-US" w:eastAsia="zh-CN"/>
        </w:rPr>
        <w:t>表</w:t>
      </w:r>
      <w:r>
        <w:rPr>
          <w:rFonts w:ascii="宋体" w:hAnsi="宋体" w:cs="宋体"/>
          <w:spacing w:val="-6"/>
          <w:sz w:val="24"/>
        </w:rPr>
        <w:t>1《资格审查表》中列明的内容、顺序提供资格证明</w:t>
      </w:r>
      <w:r>
        <w:rPr>
          <w:rFonts w:ascii="宋体" w:hAnsi="宋体" w:cs="宋体"/>
          <w:spacing w:val="-2"/>
          <w:sz w:val="24"/>
        </w:rPr>
        <w:t>材料，其中以下各项按所附格式及要求提供，其他材料由供应商自行提供。</w:t>
      </w:r>
    </w:p>
    <w:p>
      <w:pPr>
        <w:ind w:firstLine="420" w:firstLineChars="200"/>
      </w:pPr>
      <w:r>
        <w:rPr>
          <w:rFonts w:hint="eastAsia"/>
        </w:rPr>
        <w:br w:type="page"/>
      </w:r>
    </w:p>
    <w:p>
      <w:pPr>
        <w:spacing w:before="58"/>
        <w:jc w:val="center"/>
        <w:outlineLvl w:val="1"/>
        <w:rPr>
          <w:rFonts w:asciiTheme="minorEastAsia" w:hAnsiTheme="minorEastAsia" w:eastAsiaTheme="minorEastAsia" w:cstheme="minorEastAsia"/>
          <w:b/>
          <w:sz w:val="30"/>
        </w:rPr>
      </w:pPr>
      <w:bookmarkStart w:id="280" w:name="_Toc31465"/>
      <w:bookmarkStart w:id="281" w:name="_Toc28293"/>
      <w:bookmarkStart w:id="282" w:name="_Toc10653"/>
      <w:bookmarkStart w:id="283" w:name="_Toc17260"/>
      <w:bookmarkStart w:id="284" w:name="_Toc29798"/>
      <w:r>
        <w:rPr>
          <w:rFonts w:hint="eastAsia" w:asciiTheme="minorEastAsia" w:hAnsiTheme="minorEastAsia" w:eastAsiaTheme="minorEastAsia" w:cstheme="minorEastAsia"/>
          <w:b/>
          <w:sz w:val="30"/>
        </w:rPr>
        <w:t>（四）供应商基本情况表</w:t>
      </w:r>
      <w:bookmarkEnd w:id="280"/>
      <w:bookmarkEnd w:id="281"/>
      <w:bookmarkEnd w:id="282"/>
      <w:bookmarkEnd w:id="283"/>
      <w:bookmarkEnd w:id="284"/>
    </w:p>
    <w:bookmarkEnd w:id="279"/>
    <w:p/>
    <w:tbl>
      <w:tblPr>
        <w:tblStyle w:val="45"/>
        <w:tblW w:w="94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44"/>
        <w:gridCol w:w="1217"/>
        <w:gridCol w:w="1185"/>
        <w:gridCol w:w="1565"/>
        <w:gridCol w:w="2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10"/>
              <w:rPr>
                <w:b/>
                <w:sz w:val="24"/>
              </w:rPr>
            </w:pPr>
          </w:p>
          <w:p>
            <w:pPr>
              <w:pStyle w:val="167"/>
              <w:ind w:left="557" w:right="549"/>
              <w:jc w:val="center"/>
              <w:rPr>
                <w:sz w:val="24"/>
              </w:rPr>
            </w:pPr>
            <w:r>
              <w:rPr>
                <w:rFonts w:hint="eastAsia"/>
                <w:sz w:val="24"/>
              </w:rPr>
              <w:t>供应商名称</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spacing w:before="1"/>
              <w:ind w:left="557" w:right="549"/>
              <w:jc w:val="center"/>
              <w:rPr>
                <w:sz w:val="24"/>
              </w:rPr>
            </w:pPr>
            <w:r>
              <w:rPr>
                <w:rFonts w:hint="eastAsia"/>
                <w:sz w:val="24"/>
              </w:rPr>
              <w:t>注册资金</w:t>
            </w:r>
          </w:p>
        </w:tc>
        <w:tc>
          <w:tcPr>
            <w:tcW w:w="2402" w:type="dxa"/>
            <w:gridSpan w:val="2"/>
          </w:tcPr>
          <w:p>
            <w:pPr>
              <w:pStyle w:val="167"/>
              <w:rPr>
                <w:sz w:val="24"/>
              </w:rPr>
            </w:pPr>
          </w:p>
        </w:tc>
        <w:tc>
          <w:tcPr>
            <w:tcW w:w="1565" w:type="dxa"/>
          </w:tcPr>
          <w:p>
            <w:pPr>
              <w:pStyle w:val="167"/>
              <w:spacing w:before="9"/>
              <w:rPr>
                <w:b/>
                <w:sz w:val="24"/>
              </w:rPr>
            </w:pPr>
          </w:p>
          <w:p>
            <w:pPr>
              <w:pStyle w:val="167"/>
              <w:spacing w:before="1"/>
              <w:ind w:left="128" w:right="120"/>
              <w:jc w:val="center"/>
              <w:rPr>
                <w:sz w:val="24"/>
              </w:rPr>
            </w:pPr>
            <w:r>
              <w:rPr>
                <w:rFonts w:hint="eastAsia"/>
                <w:sz w:val="24"/>
              </w:rPr>
              <w:t>成立时间</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注册地址</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邮政编码</w:t>
            </w:r>
          </w:p>
        </w:tc>
        <w:tc>
          <w:tcPr>
            <w:tcW w:w="2402" w:type="dxa"/>
            <w:gridSpan w:val="2"/>
          </w:tcPr>
          <w:p>
            <w:pPr>
              <w:pStyle w:val="167"/>
              <w:rPr>
                <w:sz w:val="24"/>
              </w:rPr>
            </w:pPr>
          </w:p>
        </w:tc>
        <w:tc>
          <w:tcPr>
            <w:tcW w:w="1565" w:type="dxa"/>
          </w:tcPr>
          <w:p>
            <w:pPr>
              <w:pStyle w:val="167"/>
              <w:spacing w:before="9"/>
              <w:rPr>
                <w:b/>
                <w:sz w:val="24"/>
              </w:rPr>
            </w:pPr>
          </w:p>
          <w:p>
            <w:pPr>
              <w:pStyle w:val="167"/>
              <w:ind w:left="128" w:right="120"/>
              <w:jc w:val="center"/>
              <w:rPr>
                <w:sz w:val="24"/>
              </w:rPr>
            </w:pPr>
            <w:r>
              <w:rPr>
                <w:rFonts w:hint="eastAsia"/>
                <w:sz w:val="24"/>
              </w:rPr>
              <w:t>员工总数</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vMerge w:val="restart"/>
          </w:tcPr>
          <w:p>
            <w:pPr>
              <w:pStyle w:val="167"/>
              <w:rPr>
                <w:b/>
                <w:sz w:val="24"/>
              </w:rPr>
            </w:pPr>
          </w:p>
          <w:p>
            <w:pPr>
              <w:pStyle w:val="167"/>
              <w:spacing w:before="11"/>
              <w:rPr>
                <w:b/>
                <w:sz w:val="24"/>
              </w:rPr>
            </w:pPr>
          </w:p>
          <w:p>
            <w:pPr>
              <w:pStyle w:val="167"/>
              <w:spacing w:before="1"/>
              <w:ind w:left="557" w:right="549"/>
              <w:jc w:val="center"/>
              <w:rPr>
                <w:sz w:val="24"/>
              </w:rPr>
            </w:pPr>
            <w:r>
              <w:rPr>
                <w:rFonts w:hint="eastAsia"/>
                <w:sz w:val="24"/>
              </w:rPr>
              <w:t>联系方式</w:t>
            </w:r>
          </w:p>
        </w:tc>
        <w:tc>
          <w:tcPr>
            <w:tcW w:w="1217" w:type="dxa"/>
          </w:tcPr>
          <w:p>
            <w:pPr>
              <w:pStyle w:val="167"/>
              <w:spacing w:before="9"/>
              <w:rPr>
                <w:b/>
                <w:sz w:val="24"/>
              </w:rPr>
            </w:pPr>
          </w:p>
          <w:p>
            <w:pPr>
              <w:pStyle w:val="167"/>
              <w:ind w:left="232" w:right="222"/>
              <w:jc w:val="center"/>
              <w:rPr>
                <w:sz w:val="24"/>
              </w:rPr>
            </w:pPr>
            <w:r>
              <w:rPr>
                <w:rFonts w:hint="eastAsia"/>
                <w:sz w:val="24"/>
              </w:rPr>
              <w:t>联系人</w:t>
            </w:r>
          </w:p>
        </w:tc>
        <w:tc>
          <w:tcPr>
            <w:tcW w:w="1185" w:type="dxa"/>
          </w:tcPr>
          <w:p>
            <w:pPr>
              <w:pStyle w:val="167"/>
              <w:rPr>
                <w:sz w:val="24"/>
              </w:rPr>
            </w:pPr>
          </w:p>
        </w:tc>
        <w:tc>
          <w:tcPr>
            <w:tcW w:w="1565" w:type="dxa"/>
          </w:tcPr>
          <w:p>
            <w:pPr>
              <w:pStyle w:val="167"/>
              <w:spacing w:before="9"/>
              <w:rPr>
                <w:b/>
                <w:sz w:val="24"/>
              </w:rPr>
            </w:pPr>
          </w:p>
          <w:p>
            <w:pPr>
              <w:pStyle w:val="167"/>
              <w:ind w:left="125" w:right="120"/>
              <w:jc w:val="center"/>
              <w:rPr>
                <w:sz w:val="24"/>
              </w:rPr>
            </w:pPr>
            <w:r>
              <w:rPr>
                <w:rFonts w:hint="eastAsia"/>
                <w:sz w:val="24"/>
              </w:rPr>
              <w:t>电话</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vMerge w:val="continue"/>
            <w:tcBorders>
              <w:top w:val="nil"/>
            </w:tcBorders>
          </w:tcPr>
          <w:p>
            <w:pPr>
              <w:rPr>
                <w:sz w:val="24"/>
              </w:rPr>
            </w:pPr>
          </w:p>
        </w:tc>
        <w:tc>
          <w:tcPr>
            <w:tcW w:w="1217" w:type="dxa"/>
          </w:tcPr>
          <w:p>
            <w:pPr>
              <w:pStyle w:val="167"/>
              <w:spacing w:before="9"/>
              <w:rPr>
                <w:b/>
                <w:sz w:val="24"/>
              </w:rPr>
            </w:pPr>
          </w:p>
          <w:p>
            <w:pPr>
              <w:pStyle w:val="167"/>
              <w:ind w:left="227" w:right="222"/>
              <w:jc w:val="center"/>
              <w:rPr>
                <w:sz w:val="24"/>
              </w:rPr>
            </w:pPr>
            <w:r>
              <w:rPr>
                <w:rFonts w:hint="eastAsia"/>
                <w:sz w:val="24"/>
              </w:rPr>
              <w:t>网址</w:t>
            </w:r>
          </w:p>
        </w:tc>
        <w:tc>
          <w:tcPr>
            <w:tcW w:w="1185" w:type="dxa"/>
          </w:tcPr>
          <w:p>
            <w:pPr>
              <w:pStyle w:val="167"/>
              <w:rPr>
                <w:sz w:val="24"/>
              </w:rPr>
            </w:pPr>
          </w:p>
        </w:tc>
        <w:tc>
          <w:tcPr>
            <w:tcW w:w="1565" w:type="dxa"/>
          </w:tcPr>
          <w:p>
            <w:pPr>
              <w:pStyle w:val="167"/>
              <w:spacing w:before="9"/>
              <w:rPr>
                <w:b/>
                <w:sz w:val="24"/>
              </w:rPr>
            </w:pPr>
          </w:p>
          <w:p>
            <w:pPr>
              <w:pStyle w:val="167"/>
              <w:ind w:left="125" w:right="120"/>
              <w:jc w:val="center"/>
              <w:rPr>
                <w:sz w:val="24"/>
              </w:rPr>
            </w:pPr>
            <w:r>
              <w:rPr>
                <w:rFonts w:hint="eastAsia"/>
                <w:sz w:val="24"/>
              </w:rPr>
              <w:t>传真</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5" w:hRule="atLeast"/>
          <w:jc w:val="center"/>
        </w:trPr>
        <w:tc>
          <w:tcPr>
            <w:tcW w:w="3144" w:type="dxa"/>
          </w:tcPr>
          <w:p>
            <w:pPr>
              <w:pStyle w:val="167"/>
              <w:spacing w:before="5"/>
              <w:rPr>
                <w:b/>
                <w:sz w:val="24"/>
              </w:rPr>
            </w:pPr>
          </w:p>
          <w:p>
            <w:pPr>
              <w:pStyle w:val="167"/>
              <w:ind w:left="892"/>
              <w:rPr>
                <w:sz w:val="24"/>
              </w:rPr>
            </w:pPr>
            <w:r>
              <w:rPr>
                <w:rFonts w:hint="eastAsia"/>
                <w:sz w:val="24"/>
              </w:rPr>
              <w:t>法定代表人</w:t>
            </w:r>
          </w:p>
          <w:p>
            <w:pPr>
              <w:pStyle w:val="167"/>
              <w:spacing w:before="11"/>
              <w:rPr>
                <w:b/>
                <w:sz w:val="24"/>
              </w:rPr>
            </w:pPr>
          </w:p>
          <w:p>
            <w:pPr>
              <w:pStyle w:val="167"/>
              <w:spacing w:before="1"/>
              <w:ind w:left="628"/>
              <w:rPr>
                <w:sz w:val="24"/>
              </w:rPr>
            </w:pPr>
            <w:r>
              <w:rPr>
                <w:rFonts w:hint="eastAsia"/>
                <w:sz w:val="24"/>
              </w:rPr>
              <w:t>（单位负责人）</w:t>
            </w:r>
          </w:p>
        </w:tc>
        <w:tc>
          <w:tcPr>
            <w:tcW w:w="1217" w:type="dxa"/>
          </w:tcPr>
          <w:p>
            <w:pPr>
              <w:pStyle w:val="167"/>
              <w:rPr>
                <w:b/>
                <w:sz w:val="24"/>
              </w:rPr>
            </w:pPr>
          </w:p>
          <w:p>
            <w:pPr>
              <w:pStyle w:val="167"/>
              <w:spacing w:before="17"/>
              <w:rPr>
                <w:b/>
                <w:sz w:val="24"/>
              </w:rPr>
            </w:pPr>
          </w:p>
          <w:p>
            <w:pPr>
              <w:pStyle w:val="167"/>
              <w:spacing w:before="1"/>
              <w:ind w:left="227" w:right="222"/>
              <w:jc w:val="center"/>
              <w:rPr>
                <w:sz w:val="24"/>
              </w:rPr>
            </w:pPr>
            <w:r>
              <w:rPr>
                <w:rFonts w:hint="eastAsia"/>
                <w:sz w:val="24"/>
              </w:rPr>
              <w:t>姓名</w:t>
            </w:r>
          </w:p>
        </w:tc>
        <w:tc>
          <w:tcPr>
            <w:tcW w:w="1185" w:type="dxa"/>
          </w:tcPr>
          <w:p>
            <w:pPr>
              <w:pStyle w:val="167"/>
              <w:rPr>
                <w:sz w:val="24"/>
              </w:rPr>
            </w:pPr>
          </w:p>
        </w:tc>
        <w:tc>
          <w:tcPr>
            <w:tcW w:w="1565" w:type="dxa"/>
          </w:tcPr>
          <w:p>
            <w:pPr>
              <w:pStyle w:val="167"/>
              <w:rPr>
                <w:b/>
                <w:sz w:val="24"/>
              </w:rPr>
            </w:pPr>
          </w:p>
          <w:p>
            <w:pPr>
              <w:pStyle w:val="167"/>
              <w:spacing w:before="17"/>
              <w:rPr>
                <w:b/>
                <w:sz w:val="24"/>
              </w:rPr>
            </w:pPr>
          </w:p>
          <w:p>
            <w:pPr>
              <w:pStyle w:val="167"/>
              <w:spacing w:before="1"/>
              <w:ind w:left="125" w:right="120"/>
              <w:jc w:val="center"/>
              <w:rPr>
                <w:sz w:val="24"/>
              </w:rPr>
            </w:pPr>
            <w:r>
              <w:rPr>
                <w:rFonts w:hint="eastAsia"/>
                <w:sz w:val="24"/>
              </w:rPr>
              <w:t>电话</w:t>
            </w:r>
          </w:p>
        </w:tc>
        <w:tc>
          <w:tcPr>
            <w:tcW w:w="2360" w:type="dxa"/>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基本账户开户银号</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3144" w:type="dxa"/>
          </w:tcPr>
          <w:p>
            <w:pPr>
              <w:pStyle w:val="167"/>
              <w:spacing w:before="9"/>
              <w:rPr>
                <w:b/>
                <w:sz w:val="24"/>
              </w:rPr>
            </w:pPr>
          </w:p>
          <w:p>
            <w:pPr>
              <w:pStyle w:val="167"/>
              <w:ind w:left="557" w:right="549"/>
              <w:jc w:val="center"/>
              <w:rPr>
                <w:sz w:val="24"/>
              </w:rPr>
            </w:pPr>
            <w:r>
              <w:rPr>
                <w:rFonts w:hint="eastAsia"/>
                <w:sz w:val="24"/>
              </w:rPr>
              <w:t>基本账户银行账号</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0" w:hRule="atLeast"/>
          <w:jc w:val="center"/>
        </w:trPr>
        <w:tc>
          <w:tcPr>
            <w:tcW w:w="3144" w:type="dxa"/>
          </w:tcPr>
          <w:p>
            <w:pPr>
              <w:pStyle w:val="167"/>
              <w:spacing w:before="5"/>
              <w:rPr>
                <w:b/>
                <w:sz w:val="24"/>
              </w:rPr>
            </w:pPr>
          </w:p>
          <w:p>
            <w:pPr>
              <w:pStyle w:val="167"/>
              <w:spacing w:before="1" w:line="446" w:lineRule="auto"/>
              <w:ind w:left="158" w:right="147"/>
              <w:rPr>
                <w:sz w:val="24"/>
              </w:rPr>
            </w:pPr>
            <w:r>
              <w:rPr>
                <w:rFonts w:hint="eastAsia"/>
                <w:sz w:val="24"/>
              </w:rPr>
              <w:t>供应商关联企业情况（包括但不限于与供应商法定代表人（单位负责人）为同一人或者存在直接控股、管理关系的不同单位）</w:t>
            </w:r>
          </w:p>
        </w:tc>
        <w:tc>
          <w:tcPr>
            <w:tcW w:w="6327" w:type="dxa"/>
            <w:gridSpan w:val="4"/>
          </w:tcPr>
          <w:p>
            <w:pPr>
              <w:pStyle w:val="167"/>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jc w:val="center"/>
        </w:trPr>
        <w:tc>
          <w:tcPr>
            <w:tcW w:w="3144" w:type="dxa"/>
          </w:tcPr>
          <w:p>
            <w:pPr>
              <w:pStyle w:val="167"/>
              <w:spacing w:before="16"/>
              <w:rPr>
                <w:b/>
                <w:sz w:val="24"/>
              </w:rPr>
            </w:pPr>
          </w:p>
          <w:p>
            <w:pPr>
              <w:pStyle w:val="167"/>
              <w:ind w:left="555" w:right="549"/>
              <w:jc w:val="center"/>
              <w:rPr>
                <w:sz w:val="24"/>
              </w:rPr>
            </w:pPr>
            <w:r>
              <w:rPr>
                <w:rFonts w:hint="eastAsia"/>
                <w:sz w:val="24"/>
              </w:rPr>
              <w:t>备注</w:t>
            </w:r>
          </w:p>
        </w:tc>
        <w:tc>
          <w:tcPr>
            <w:tcW w:w="6327" w:type="dxa"/>
            <w:gridSpan w:val="4"/>
          </w:tcPr>
          <w:p>
            <w:pPr>
              <w:pStyle w:val="167"/>
              <w:rPr>
                <w:sz w:val="24"/>
              </w:rPr>
            </w:pPr>
          </w:p>
        </w:tc>
      </w:tr>
    </w:tbl>
    <w:p>
      <w:pPr>
        <w:spacing w:line="560" w:lineRule="exact"/>
        <w:ind w:firstLine="840" w:firstLineChars="350"/>
        <w:rPr>
          <w:rFonts w:cs="Arial"/>
          <w:sz w:val="24"/>
        </w:rPr>
      </w:pPr>
      <w:r>
        <w:rPr>
          <w:rFonts w:hint="eastAsia" w:cs="Arial"/>
          <w:sz w:val="24"/>
        </w:rPr>
        <w:t>注：表后须附有关证书复印件。</w:t>
      </w:r>
    </w:p>
    <w:p>
      <w:pPr>
        <w:spacing w:line="560" w:lineRule="exact"/>
        <w:ind w:firstLine="840" w:firstLineChars="350"/>
        <w:rPr>
          <w:rFonts w:cs="Arial"/>
          <w:sz w:val="24"/>
        </w:rPr>
      </w:pPr>
    </w:p>
    <w:p>
      <w:pPr>
        <w:pStyle w:val="2"/>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2"/>
        <w:spacing w:before="66"/>
        <w:ind w:left="896"/>
        <w:rPr>
          <w:bCs/>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spacing w:before="58"/>
        <w:jc w:val="center"/>
        <w:outlineLvl w:val="1"/>
        <w:rPr>
          <w:rFonts w:hint="eastAsia" w:asciiTheme="minorEastAsia" w:hAnsiTheme="minorEastAsia" w:eastAsiaTheme="minorEastAsia" w:cstheme="minorEastAsia"/>
          <w:b/>
          <w:sz w:val="30"/>
        </w:rPr>
        <w:sectPr>
          <w:headerReference r:id="rId11" w:type="default"/>
          <w:footerReference r:id="rId12" w:type="default"/>
          <w:pgSz w:w="11910" w:h="16840"/>
          <w:pgMar w:top="1440" w:right="1080" w:bottom="1440" w:left="1080" w:header="1020" w:footer="907" w:gutter="0"/>
          <w:pgBorders>
            <w:top w:val="none" w:sz="0" w:space="0"/>
            <w:left w:val="none" w:sz="0" w:space="0"/>
            <w:bottom w:val="none" w:sz="0" w:space="0"/>
            <w:right w:val="none" w:sz="0" w:space="0"/>
          </w:pgBorders>
          <w:cols w:space="720" w:num="1"/>
        </w:sectPr>
      </w:pPr>
      <w:bookmarkStart w:id="285" w:name="_Toc30013"/>
      <w:bookmarkStart w:id="286" w:name="_Toc11099"/>
      <w:bookmarkStart w:id="287" w:name="_Toc26056"/>
      <w:bookmarkStart w:id="288" w:name="_Toc2290"/>
      <w:bookmarkStart w:id="289" w:name="_Toc11633"/>
    </w:p>
    <w:p>
      <w:pPr>
        <w:spacing w:before="58"/>
        <w:jc w:val="center"/>
        <w:outlineLvl w:val="1"/>
        <w:rPr>
          <w:rFonts w:hint="default" w:asciiTheme="minorEastAsia" w:hAnsiTheme="minorEastAsia" w:eastAsiaTheme="minorEastAsia" w:cstheme="minorEastAsia"/>
          <w:b/>
          <w:sz w:val="30"/>
          <w:lang w:val="en-US" w:eastAsia="zh-CN"/>
        </w:rPr>
      </w:pPr>
      <w:r>
        <w:rPr>
          <w:rFonts w:hint="eastAsia" w:asciiTheme="minorEastAsia" w:hAnsiTheme="minorEastAsia" w:eastAsiaTheme="minorEastAsia" w:cstheme="minorEastAsia"/>
          <w:b/>
          <w:sz w:val="30"/>
        </w:rPr>
        <w:t>（五）</w:t>
      </w:r>
      <w:bookmarkEnd w:id="285"/>
      <w:bookmarkEnd w:id="286"/>
      <w:bookmarkEnd w:id="287"/>
      <w:bookmarkEnd w:id="288"/>
      <w:bookmarkEnd w:id="289"/>
      <w:r>
        <w:rPr>
          <w:rFonts w:hint="eastAsia" w:asciiTheme="minorEastAsia" w:hAnsiTheme="minorEastAsia" w:eastAsiaTheme="minorEastAsia" w:cstheme="minorEastAsia"/>
          <w:b/>
          <w:sz w:val="30"/>
          <w:lang w:val="en-US" w:eastAsia="zh-CN"/>
        </w:rPr>
        <w:t>商务方案</w:t>
      </w:r>
    </w:p>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lang w:val="en-US" w:eastAsia="zh-CN"/>
        </w:rPr>
        <w:t>供应商</w:t>
      </w:r>
      <w:r>
        <w:rPr>
          <w:rFonts w:hint="eastAsia"/>
        </w:rPr>
        <w:t>根据采购要求及评分标准内容编制包括业绩及证明材料、交货期承诺、企业荣誉、人员配置等证明材料。</w:t>
      </w:r>
    </w:p>
    <w:p>
      <w:pPr>
        <w:pStyle w:val="2"/>
      </w:pPr>
    </w:p>
    <w:p>
      <w:pPr>
        <w:pStyle w:val="2"/>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2"/>
          <w:szCs w:val="22"/>
        </w:rPr>
      </w:pPr>
    </w:p>
    <w:p>
      <w:pPr>
        <w:rPr>
          <w:sz w:val="22"/>
          <w:szCs w:val="22"/>
        </w:rPr>
      </w:pPr>
    </w:p>
    <w:p/>
    <w:p/>
    <w:p/>
    <w:p/>
    <w:p/>
    <w:p/>
    <w:p>
      <w:pPr>
        <w:spacing w:before="58"/>
        <w:jc w:val="center"/>
        <w:outlineLvl w:val="1"/>
        <w:rPr>
          <w:rFonts w:asciiTheme="minorEastAsia" w:hAnsiTheme="minorEastAsia" w:eastAsiaTheme="minorEastAsia" w:cstheme="minorEastAsia"/>
          <w:b/>
          <w:sz w:val="30"/>
        </w:rPr>
      </w:pPr>
      <w:r>
        <w:br w:type="page"/>
      </w:r>
      <w:bookmarkStart w:id="290" w:name="_Toc7616"/>
      <w:bookmarkStart w:id="291" w:name="_Toc13180"/>
      <w:bookmarkStart w:id="292" w:name="_Toc1224"/>
      <w:bookmarkStart w:id="293" w:name="_Toc28478"/>
      <w:bookmarkStart w:id="294" w:name="_Toc24394"/>
      <w:bookmarkStart w:id="295" w:name="_Toc7187"/>
      <w:bookmarkStart w:id="296" w:name="_Toc25942"/>
      <w:r>
        <w:rPr>
          <w:rFonts w:hint="eastAsia" w:asciiTheme="minorEastAsia" w:hAnsiTheme="minorEastAsia" w:eastAsiaTheme="minorEastAsia" w:cstheme="minorEastAsia"/>
          <w:b/>
          <w:sz w:val="30"/>
        </w:rPr>
        <w:t>（六）商务偏离表</w:t>
      </w:r>
      <w:bookmarkEnd w:id="290"/>
      <w:bookmarkEnd w:id="291"/>
      <w:bookmarkEnd w:id="292"/>
      <w:bookmarkEnd w:id="293"/>
      <w:bookmarkEnd w:id="294"/>
    </w:p>
    <w:bookmarkEnd w:id="295"/>
    <w:bookmarkEnd w:id="296"/>
    <w:p>
      <w:pPr>
        <w:pStyle w:val="2"/>
        <w:ind w:left="700"/>
      </w:pPr>
    </w:p>
    <w:p>
      <w:pPr>
        <w:widowControl/>
        <w:ind w:firstLine="436" w:firstLineChars="200"/>
        <w:jc w:val="left"/>
        <w:textAlignment w:val="center"/>
        <w:rPr>
          <w:sz w:val="24"/>
        </w:rPr>
      </w:pPr>
      <w:r>
        <w:rPr>
          <w:spacing w:val="-11"/>
          <w:sz w:val="24"/>
        </w:rPr>
        <w:t>我方在此声明，除下述表格内的偏离条款外，我方完全响应</w:t>
      </w:r>
      <w:r>
        <w:rPr>
          <w:rFonts w:hint="eastAsia"/>
          <w:spacing w:val="-11"/>
          <w:sz w:val="24"/>
          <w:lang w:eastAsia="zh-CN"/>
        </w:rPr>
        <w:t>磋商文件</w:t>
      </w:r>
      <w:r>
        <w:rPr>
          <w:sz w:val="24"/>
        </w:rPr>
        <w:t>商务条款要求。</w:t>
      </w:r>
    </w:p>
    <w:p>
      <w:pPr>
        <w:widowControl/>
        <w:jc w:val="left"/>
        <w:textAlignment w:val="center"/>
        <w:rPr>
          <w:sz w:val="24"/>
        </w:rPr>
      </w:pPr>
    </w:p>
    <w:p>
      <w:pPr>
        <w:widowControl/>
        <w:jc w:val="left"/>
        <w:textAlignment w:val="center"/>
        <w:outlineLvl w:val="1"/>
        <w:rPr>
          <w:sz w:val="24"/>
        </w:rPr>
      </w:pPr>
      <w:bookmarkStart w:id="297" w:name="_Toc2287"/>
      <w:r>
        <w:rPr>
          <w:rFonts w:hint="eastAsia" w:asciiTheme="minorEastAsia" w:hAnsiTheme="minorEastAsia" w:eastAsiaTheme="minorEastAsia" w:cstheme="minorEastAsia"/>
          <w:kern w:val="0"/>
          <w:sz w:val="22"/>
          <w:szCs w:val="22"/>
        </w:rPr>
        <w:t>项目编号：</w:t>
      </w:r>
      <w:r>
        <w:rPr>
          <w:rFonts w:hint="eastAsia" w:asciiTheme="minorEastAsia" w:hAnsiTheme="minorEastAsia" w:eastAsiaTheme="minorEastAsia" w:cstheme="minorEastAsia"/>
          <w:kern w:val="0"/>
          <w:sz w:val="22"/>
          <w:szCs w:val="22"/>
          <w:u w:val="single"/>
        </w:rPr>
        <w:t xml:space="preserve">                            </w:t>
      </w:r>
      <w:r>
        <w:rPr>
          <w:rFonts w:hint="eastAsia" w:asciiTheme="minorEastAsia" w:hAnsiTheme="minorEastAsia" w:eastAsiaTheme="minorEastAsia" w:cstheme="minorEastAsia"/>
          <w:kern w:val="0"/>
          <w:sz w:val="22"/>
          <w:szCs w:val="22"/>
        </w:rPr>
        <w:t xml:space="preserve">              项目名称：</w:t>
      </w:r>
      <w:bookmarkEnd w:id="297"/>
      <w:r>
        <w:rPr>
          <w:rFonts w:hint="eastAsia" w:asciiTheme="minorEastAsia" w:hAnsiTheme="minorEastAsia" w:eastAsiaTheme="minorEastAsia" w:cstheme="minorEastAsia"/>
          <w:kern w:val="0"/>
          <w:sz w:val="22"/>
          <w:szCs w:val="22"/>
          <w:u w:val="single"/>
        </w:rPr>
        <w:t xml:space="preserve">                            </w:t>
      </w:r>
    </w:p>
    <w:tbl>
      <w:tblPr>
        <w:tblStyle w:val="45"/>
        <w:tblpPr w:leftFromText="180" w:rightFromText="180" w:vertAnchor="text" w:horzAnchor="page" w:tblpX="1362" w:tblpY="187"/>
        <w:tblOverlap w:val="never"/>
        <w:tblW w:w="9257"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69"/>
        <w:gridCol w:w="1222"/>
        <w:gridCol w:w="2422"/>
        <w:gridCol w:w="2422"/>
        <w:gridCol w:w="242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39" w:hRule="atLeast"/>
        </w:trPr>
        <w:tc>
          <w:tcPr>
            <w:tcW w:w="769" w:type="dxa"/>
            <w:tcBorders>
              <w:bottom w:val="single" w:color="000000" w:sz="4" w:space="0"/>
              <w:right w:val="single" w:color="000000" w:sz="4" w:space="0"/>
            </w:tcBorders>
            <w:vAlign w:val="center"/>
          </w:tcPr>
          <w:p>
            <w:pPr>
              <w:pStyle w:val="167"/>
              <w:spacing w:before="82"/>
              <w:ind w:left="204"/>
              <w:jc w:val="both"/>
              <w:rPr>
                <w:sz w:val="24"/>
              </w:rPr>
            </w:pPr>
            <w:r>
              <w:rPr>
                <w:sz w:val="24"/>
              </w:rPr>
              <w:t>序号</w:t>
            </w:r>
          </w:p>
        </w:tc>
        <w:tc>
          <w:tcPr>
            <w:tcW w:w="1222" w:type="dxa"/>
            <w:tcBorders>
              <w:left w:val="single" w:color="000000" w:sz="4" w:space="0"/>
              <w:bottom w:val="single" w:color="000000" w:sz="4" w:space="0"/>
              <w:right w:val="single" w:color="000000" w:sz="4" w:space="0"/>
            </w:tcBorders>
            <w:vAlign w:val="center"/>
          </w:tcPr>
          <w:p>
            <w:pPr>
              <w:pStyle w:val="167"/>
              <w:spacing w:before="1"/>
              <w:ind w:left="204"/>
              <w:jc w:val="center"/>
              <w:rPr>
                <w:rFonts w:hint="eastAsia" w:eastAsia="宋体"/>
                <w:sz w:val="24"/>
                <w:lang w:eastAsia="zh-CN"/>
              </w:rPr>
            </w:pPr>
            <w:r>
              <w:rPr>
                <w:rFonts w:hint="eastAsia"/>
                <w:sz w:val="24"/>
                <w:lang w:eastAsia="zh-CN"/>
              </w:rPr>
              <w:t>磋商文件</w:t>
            </w:r>
          </w:p>
          <w:p>
            <w:pPr>
              <w:pStyle w:val="167"/>
              <w:spacing w:before="82"/>
              <w:ind w:left="324"/>
              <w:jc w:val="center"/>
              <w:rPr>
                <w:sz w:val="24"/>
              </w:rPr>
            </w:pPr>
            <w:r>
              <w:rPr>
                <w:sz w:val="24"/>
              </w:rPr>
              <w:t>条目号</w:t>
            </w:r>
          </w:p>
        </w:tc>
        <w:tc>
          <w:tcPr>
            <w:tcW w:w="2422" w:type="dxa"/>
            <w:tcBorders>
              <w:left w:val="single" w:color="000000" w:sz="4" w:space="0"/>
              <w:bottom w:val="single" w:color="000000" w:sz="4" w:space="0"/>
              <w:right w:val="single" w:color="000000" w:sz="4" w:space="0"/>
            </w:tcBorders>
            <w:vAlign w:val="center"/>
          </w:tcPr>
          <w:p>
            <w:pPr>
              <w:pStyle w:val="167"/>
              <w:spacing w:before="196"/>
              <w:ind w:left="143"/>
              <w:jc w:val="center"/>
              <w:rPr>
                <w:sz w:val="24"/>
              </w:rPr>
            </w:pPr>
            <w:r>
              <w:rPr>
                <w:rFonts w:hint="eastAsia"/>
                <w:sz w:val="24"/>
                <w:lang w:eastAsia="zh-CN"/>
              </w:rPr>
              <w:t>磋商文件</w:t>
            </w:r>
            <w:r>
              <w:rPr>
                <w:sz w:val="24"/>
              </w:rPr>
              <w:t>的商务条款</w:t>
            </w:r>
          </w:p>
        </w:tc>
        <w:tc>
          <w:tcPr>
            <w:tcW w:w="2422" w:type="dxa"/>
            <w:tcBorders>
              <w:left w:val="single" w:color="000000" w:sz="4" w:space="0"/>
              <w:bottom w:val="single" w:color="000000" w:sz="4" w:space="0"/>
              <w:right w:val="single" w:color="000000" w:sz="4" w:space="0"/>
            </w:tcBorders>
            <w:vAlign w:val="center"/>
          </w:tcPr>
          <w:p>
            <w:pPr>
              <w:pStyle w:val="167"/>
              <w:spacing w:before="196"/>
              <w:ind w:left="144"/>
              <w:jc w:val="center"/>
              <w:rPr>
                <w:sz w:val="24"/>
              </w:rPr>
            </w:pPr>
            <w:r>
              <w:rPr>
                <w:sz w:val="24"/>
              </w:rPr>
              <w:t>响应文件的商务条款</w:t>
            </w:r>
          </w:p>
        </w:tc>
        <w:tc>
          <w:tcPr>
            <w:tcW w:w="2422" w:type="dxa"/>
            <w:tcBorders>
              <w:left w:val="single" w:color="000000" w:sz="4" w:space="0"/>
              <w:bottom w:val="single" w:color="000000" w:sz="4" w:space="0"/>
            </w:tcBorders>
            <w:vAlign w:val="center"/>
          </w:tcPr>
          <w:p>
            <w:pPr>
              <w:pStyle w:val="167"/>
              <w:spacing w:before="196"/>
              <w:ind w:left="143"/>
              <w:jc w:val="center"/>
              <w:rPr>
                <w:sz w:val="24"/>
              </w:rPr>
            </w:pPr>
            <w:r>
              <w:rPr>
                <w:sz w:val="24"/>
              </w:rPr>
              <w:t>原因说明及建议详情</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9"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9"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8"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88" w:hRule="atLeast"/>
        </w:trPr>
        <w:tc>
          <w:tcPr>
            <w:tcW w:w="769" w:type="dxa"/>
            <w:tcBorders>
              <w:top w:val="single" w:color="000000" w:sz="4" w:space="0"/>
              <w:bottom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bottom w:val="single" w:color="000000" w:sz="4" w:space="0"/>
            </w:tcBorders>
          </w:tcPr>
          <w:p>
            <w:pPr>
              <w:pStyle w:val="167"/>
              <w:rPr>
                <w:rFonts w:ascii="Times New Roman"/>
                <w:sz w:val="24"/>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85" w:hRule="atLeast"/>
        </w:trPr>
        <w:tc>
          <w:tcPr>
            <w:tcW w:w="769" w:type="dxa"/>
            <w:tcBorders>
              <w:top w:val="single" w:color="000000" w:sz="4" w:space="0"/>
              <w:right w:val="single" w:color="000000" w:sz="4" w:space="0"/>
            </w:tcBorders>
          </w:tcPr>
          <w:p>
            <w:pPr>
              <w:pStyle w:val="167"/>
              <w:rPr>
                <w:rFonts w:ascii="Times New Roman"/>
                <w:sz w:val="24"/>
              </w:rPr>
            </w:pPr>
          </w:p>
        </w:tc>
        <w:tc>
          <w:tcPr>
            <w:tcW w:w="1222" w:type="dxa"/>
            <w:tcBorders>
              <w:top w:val="single" w:color="000000" w:sz="4" w:space="0"/>
              <w:left w:val="single" w:color="000000" w:sz="4" w:space="0"/>
              <w:right w:val="single" w:color="000000" w:sz="4" w:space="0"/>
            </w:tcBorders>
          </w:tcPr>
          <w:p>
            <w:pPr>
              <w:pStyle w:val="167"/>
              <w:spacing w:before="41"/>
              <w:ind w:left="118"/>
              <w:rPr>
                <w:sz w:val="24"/>
              </w:rPr>
            </w:pPr>
            <w:r>
              <w:rPr>
                <w:sz w:val="24"/>
              </w:rPr>
              <w:t>……</w:t>
            </w:r>
          </w:p>
        </w:tc>
        <w:tc>
          <w:tcPr>
            <w:tcW w:w="2422" w:type="dxa"/>
            <w:tcBorders>
              <w:top w:val="single" w:color="000000" w:sz="4" w:space="0"/>
              <w:left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right w:val="single" w:color="000000" w:sz="4" w:space="0"/>
            </w:tcBorders>
          </w:tcPr>
          <w:p>
            <w:pPr>
              <w:pStyle w:val="167"/>
              <w:rPr>
                <w:rFonts w:ascii="Times New Roman"/>
                <w:sz w:val="24"/>
              </w:rPr>
            </w:pPr>
          </w:p>
        </w:tc>
        <w:tc>
          <w:tcPr>
            <w:tcW w:w="2422" w:type="dxa"/>
            <w:tcBorders>
              <w:top w:val="single" w:color="000000" w:sz="4" w:space="0"/>
              <w:left w:val="single" w:color="000000" w:sz="4" w:space="0"/>
            </w:tcBorders>
          </w:tcPr>
          <w:p>
            <w:pPr>
              <w:pStyle w:val="167"/>
              <w:rPr>
                <w:rFonts w:ascii="Times New Roman"/>
                <w:sz w:val="24"/>
              </w:rPr>
            </w:pPr>
          </w:p>
        </w:tc>
      </w:tr>
    </w:tbl>
    <w:p>
      <w:pPr>
        <w:pStyle w:val="2"/>
        <w:spacing w:before="66"/>
        <w:ind w:left="700"/>
      </w:pPr>
      <w:r>
        <w:t>注：</w:t>
      </w:r>
    </w:p>
    <w:p>
      <w:pPr>
        <w:pStyle w:val="2"/>
        <w:spacing w:before="158"/>
        <w:ind w:left="700"/>
      </w:pPr>
      <w:r>
        <w:t>供应商应对商务基本要求，提出遵守声明。</w:t>
      </w:r>
    </w:p>
    <w:p>
      <w:pPr>
        <w:pStyle w:val="2"/>
        <w:spacing w:before="158" w:line="364" w:lineRule="auto"/>
        <w:ind w:left="700" w:right="661"/>
      </w:pPr>
      <w:r>
        <w:rPr>
          <w:spacing w:val="-7"/>
        </w:rPr>
        <w:t>供应商需在本附件内，列出不能符合的有关段落，附件并举出原因，同时，供应</w:t>
      </w:r>
      <w:r>
        <w:t>商亦须提出解决偏离的详细方案。</w:t>
      </w:r>
    </w:p>
    <w:p>
      <w:pPr>
        <w:pStyle w:val="2"/>
        <w:spacing w:before="2" w:line="362" w:lineRule="auto"/>
        <w:ind w:left="700" w:right="661"/>
      </w:pPr>
      <w:r>
        <w:rPr>
          <w:spacing w:val="-6"/>
        </w:rPr>
        <w:t>除本附件列出的偏差获得采购人许可外，在合同签订后，所有不符合</w:t>
      </w:r>
      <w:r>
        <w:rPr>
          <w:rFonts w:hint="eastAsia"/>
          <w:spacing w:val="-6"/>
        </w:rPr>
        <w:t>投标</w:t>
      </w:r>
      <w:r>
        <w:rPr>
          <w:spacing w:val="-6"/>
        </w:rPr>
        <w:t>要求的</w:t>
      </w:r>
      <w:r>
        <w:t>项目，供应商必须加以纠正。</w:t>
      </w:r>
    </w:p>
    <w:p>
      <w:pPr>
        <w:pStyle w:val="2"/>
      </w:pPr>
    </w:p>
    <w:p>
      <w:pPr>
        <w:pStyle w:val="2"/>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adjustRightInd w:val="0"/>
        <w:snapToGrid w:val="0"/>
        <w:spacing w:line="500" w:lineRule="exact"/>
        <w:rPr>
          <w:bCs/>
          <w:sz w:val="22"/>
          <w:szCs w:val="22"/>
        </w:rPr>
      </w:pPr>
    </w:p>
    <w:p>
      <w:r>
        <w:br w:type="page"/>
      </w:r>
      <w:bookmarkStart w:id="298" w:name="_Toc17720"/>
      <w:bookmarkStart w:id="299" w:name="_Toc21369"/>
      <w:bookmarkStart w:id="300" w:name="_Toc28907_WPSOffice_Level2"/>
      <w:bookmarkStart w:id="301" w:name="_Toc20605"/>
      <w:bookmarkStart w:id="302" w:name="_Toc3178_WPSOffice_Level2"/>
    </w:p>
    <w:p>
      <w:pPr>
        <w:spacing w:before="58"/>
        <w:jc w:val="center"/>
        <w:outlineLvl w:val="0"/>
        <w:rPr>
          <w:rFonts w:asciiTheme="minorEastAsia" w:hAnsiTheme="minorEastAsia" w:eastAsiaTheme="minorEastAsia" w:cstheme="minorEastAsia"/>
          <w:b/>
          <w:sz w:val="30"/>
        </w:rPr>
      </w:pPr>
      <w:bookmarkStart w:id="303" w:name="_Toc19521"/>
      <w:bookmarkStart w:id="304" w:name="_Toc764"/>
      <w:bookmarkStart w:id="305" w:name="_Toc29463"/>
      <w:bookmarkStart w:id="306" w:name="_Toc7530"/>
      <w:bookmarkStart w:id="307" w:name="_Toc10171"/>
      <w:r>
        <w:rPr>
          <w:rFonts w:hint="eastAsia" w:asciiTheme="minorEastAsia" w:hAnsiTheme="minorEastAsia" w:eastAsiaTheme="minorEastAsia" w:cstheme="minorEastAsia"/>
          <w:b/>
          <w:sz w:val="30"/>
        </w:rPr>
        <w:t>四、技术部分</w:t>
      </w:r>
      <w:bookmarkEnd w:id="303"/>
      <w:bookmarkEnd w:id="304"/>
      <w:bookmarkEnd w:id="305"/>
      <w:bookmarkEnd w:id="306"/>
      <w:bookmarkEnd w:id="307"/>
    </w:p>
    <w:bookmarkEnd w:id="298"/>
    <w:bookmarkEnd w:id="299"/>
    <w:bookmarkEnd w:id="300"/>
    <w:bookmarkEnd w:id="301"/>
    <w:bookmarkEnd w:id="302"/>
    <w:p>
      <w:pPr>
        <w:bidi w:val="0"/>
        <w:rPr>
          <w:rFonts w:hint="eastAsia"/>
        </w:rPr>
      </w:pPr>
      <w:bookmarkStart w:id="308" w:name="_Toc21441"/>
      <w:bookmarkStart w:id="309" w:name="_Toc13867"/>
      <w:bookmarkStart w:id="310" w:name="_Toc15158"/>
    </w:p>
    <w:p>
      <w:pPr>
        <w:spacing w:before="58"/>
        <w:jc w:val="center"/>
        <w:outlineLvl w:val="1"/>
        <w:rPr>
          <w:rFonts w:asciiTheme="minorEastAsia" w:hAnsiTheme="minorEastAsia" w:eastAsiaTheme="minorEastAsia" w:cstheme="minorEastAsia"/>
          <w:kern w:val="0"/>
        </w:rPr>
      </w:pPr>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一</w:t>
      </w:r>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技术</w:t>
      </w:r>
      <w:r>
        <w:rPr>
          <w:rFonts w:hint="eastAsia" w:asciiTheme="minorEastAsia" w:hAnsiTheme="minorEastAsia" w:eastAsiaTheme="minorEastAsia" w:cstheme="minorEastAsia"/>
          <w:b/>
          <w:sz w:val="30"/>
        </w:rPr>
        <w:t>方案</w:t>
      </w:r>
      <w:bookmarkEnd w:id="308"/>
      <w:bookmarkEnd w:id="309"/>
      <w:bookmarkEnd w:id="310"/>
    </w:p>
    <w:p>
      <w:pPr>
        <w:spacing w:line="360" w:lineRule="auto"/>
        <w:ind w:firstLine="480" w:firstLineChars="200"/>
        <w:rPr>
          <w:rFonts w:hint="eastAsia" w:ascii="宋体" w:hAnsi="宋体" w:eastAsia="宋体" w:cs="宋体"/>
          <w:sz w:val="24"/>
          <w:szCs w:val="32"/>
          <w:lang w:val="en-US"/>
        </w:rPr>
      </w:pPr>
      <w:r>
        <w:rPr>
          <w:rFonts w:hint="eastAsia" w:ascii="宋体" w:hAnsi="宋体" w:eastAsia="宋体" w:cs="宋体"/>
          <w:sz w:val="24"/>
          <w:szCs w:val="32"/>
          <w:lang w:val="en-US"/>
        </w:rPr>
        <w:t xml:space="preserve">技术方案必须科学合理、真实可行，能充分体现出自身技术和专业优势。其要点和主要内容包含但不限于以下内容：  </w:t>
      </w:r>
    </w:p>
    <w:p>
      <w:pPr>
        <w:spacing w:line="360" w:lineRule="auto"/>
        <w:ind w:firstLine="480" w:firstLineChars="200"/>
        <w:rPr>
          <w:rFonts w:hint="eastAsia" w:ascii="宋体" w:hAnsi="宋体" w:eastAsia="宋体" w:cs="宋体"/>
          <w:sz w:val="24"/>
          <w:szCs w:val="32"/>
          <w:lang w:val="en-US"/>
        </w:rPr>
      </w:pPr>
      <w:bookmarkStart w:id="311" w:name="_Toc29812"/>
      <w:r>
        <w:rPr>
          <w:rFonts w:hint="eastAsia" w:ascii="宋体" w:hAnsi="宋体" w:eastAsia="宋体" w:cs="宋体"/>
          <w:sz w:val="24"/>
          <w:szCs w:val="32"/>
          <w:lang w:val="en-US"/>
        </w:rPr>
        <w:t>1、货物生产、验收的标准</w:t>
      </w:r>
      <w:bookmarkEnd w:id="311"/>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2" w:name="_Toc31134"/>
      <w:r>
        <w:rPr>
          <w:rFonts w:hint="eastAsia" w:ascii="宋体" w:hAnsi="宋体" w:eastAsia="宋体" w:cs="宋体"/>
          <w:sz w:val="24"/>
          <w:szCs w:val="32"/>
          <w:lang w:val="en-US"/>
        </w:rPr>
        <w:t>2、质量保证措施</w:t>
      </w:r>
      <w:bookmarkEnd w:id="312"/>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3" w:name="_Toc11374"/>
      <w:r>
        <w:rPr>
          <w:rFonts w:hint="eastAsia" w:ascii="宋体" w:hAnsi="宋体" w:eastAsia="宋体" w:cs="宋体"/>
          <w:sz w:val="24"/>
          <w:szCs w:val="32"/>
          <w:lang w:val="en-US"/>
        </w:rPr>
        <w:t>3、保证交货期的措施</w:t>
      </w:r>
      <w:bookmarkEnd w:id="313"/>
    </w:p>
    <w:p>
      <w:pPr>
        <w:spacing w:line="360" w:lineRule="auto"/>
        <w:ind w:firstLine="480" w:firstLineChars="200"/>
        <w:rPr>
          <w:rFonts w:hint="eastAsia" w:ascii="宋体" w:hAnsi="宋体" w:eastAsia="宋体" w:cs="宋体"/>
          <w:sz w:val="24"/>
          <w:szCs w:val="32"/>
          <w:lang w:val="en-US"/>
        </w:rPr>
      </w:pPr>
      <w:bookmarkStart w:id="314" w:name="_Toc31368"/>
      <w:r>
        <w:rPr>
          <w:rFonts w:hint="eastAsia" w:ascii="宋体" w:hAnsi="宋体" w:eastAsia="宋体" w:cs="宋体"/>
          <w:sz w:val="24"/>
          <w:szCs w:val="32"/>
          <w:lang w:val="en-US"/>
        </w:rPr>
        <w:t>4、出现问题的响应时间</w:t>
      </w:r>
      <w:bookmarkEnd w:id="314"/>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5" w:name="_Toc5194"/>
      <w:r>
        <w:rPr>
          <w:rFonts w:hint="eastAsia" w:ascii="宋体" w:hAnsi="宋体" w:eastAsia="宋体" w:cs="宋体"/>
          <w:sz w:val="24"/>
          <w:szCs w:val="32"/>
          <w:lang w:val="en-US"/>
        </w:rPr>
        <w:t>5、售后服务及人员培训方案</w:t>
      </w:r>
      <w:bookmarkEnd w:id="315"/>
      <w:r>
        <w:rPr>
          <w:rFonts w:hint="eastAsia" w:ascii="宋体" w:hAnsi="宋体" w:eastAsia="宋体" w:cs="宋体"/>
          <w:sz w:val="24"/>
          <w:szCs w:val="32"/>
          <w:lang w:val="en-US"/>
        </w:rPr>
        <w:t xml:space="preserve"> </w:t>
      </w:r>
    </w:p>
    <w:p>
      <w:pPr>
        <w:spacing w:line="360" w:lineRule="auto"/>
        <w:ind w:firstLine="480" w:firstLineChars="200"/>
        <w:rPr>
          <w:rFonts w:hint="eastAsia" w:ascii="宋体" w:hAnsi="宋体" w:eastAsia="宋体" w:cs="宋体"/>
          <w:sz w:val="24"/>
          <w:szCs w:val="32"/>
          <w:lang w:val="en-US"/>
        </w:rPr>
      </w:pPr>
      <w:bookmarkStart w:id="316" w:name="_Toc21440"/>
      <w:r>
        <w:rPr>
          <w:rFonts w:hint="eastAsia" w:ascii="宋体" w:hAnsi="宋体" w:eastAsia="宋体" w:cs="宋体"/>
          <w:sz w:val="24"/>
          <w:szCs w:val="32"/>
          <w:lang w:val="en-US"/>
        </w:rPr>
        <w:t>6、供应商需要说明的其他事项</w:t>
      </w:r>
      <w:bookmarkEnd w:id="316"/>
      <w:r>
        <w:rPr>
          <w:rFonts w:hint="eastAsia" w:ascii="宋体" w:hAnsi="宋体" w:eastAsia="宋体" w:cs="宋体"/>
          <w:sz w:val="24"/>
          <w:szCs w:val="32"/>
          <w:lang w:val="en-US"/>
        </w:rPr>
        <w:t xml:space="preserve"> </w:t>
      </w:r>
    </w:p>
    <w:p>
      <w:pPr>
        <w:rPr>
          <w:sz w:val="24"/>
        </w:rPr>
      </w:pPr>
    </w:p>
    <w:p>
      <w:pPr>
        <w:pStyle w:val="28"/>
        <w:tabs>
          <w:tab w:val="right" w:leader="dot" w:pos="9459"/>
        </w:tabs>
        <w:rPr>
          <w:sz w:val="24"/>
        </w:rPr>
      </w:pPr>
    </w:p>
    <w:p>
      <w:pPr>
        <w:rPr>
          <w:sz w:val="24"/>
        </w:rPr>
      </w:pPr>
    </w:p>
    <w:p>
      <w:pPr>
        <w:pStyle w:val="28"/>
        <w:tabs>
          <w:tab w:val="right" w:leader="dot" w:pos="9459"/>
        </w:tabs>
        <w:rPr>
          <w:sz w:val="24"/>
        </w:rPr>
      </w:pPr>
    </w:p>
    <w:p/>
    <w:p>
      <w:pPr>
        <w:spacing w:line="560" w:lineRule="exact"/>
        <w:rPr>
          <w:sz w:val="24"/>
        </w:rPr>
      </w:pPr>
    </w:p>
    <w:p>
      <w:pPr>
        <w:pStyle w:val="2"/>
        <w:spacing w:before="66"/>
        <w:ind w:left="896"/>
        <w:rPr>
          <w:rFonts w:ascii="宋体" w:hAnsi="宋体"/>
          <w:u w:val="single"/>
        </w:rPr>
      </w:pPr>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b/>
          <w:bCs/>
          <w:sz w:val="22"/>
          <w:szCs w:val="22"/>
        </w:rPr>
      </w:pPr>
      <w:r>
        <w:rPr>
          <w:rFonts w:hint="eastAsia"/>
          <w:b/>
          <w:bCs/>
          <w:sz w:val="22"/>
          <w:szCs w:val="22"/>
        </w:rPr>
        <w:br w:type="page"/>
      </w:r>
    </w:p>
    <w:p>
      <w:pPr>
        <w:spacing w:before="58"/>
        <w:jc w:val="center"/>
        <w:outlineLvl w:val="1"/>
        <w:rPr>
          <w:rFonts w:asciiTheme="minorEastAsia" w:hAnsiTheme="minorEastAsia" w:eastAsiaTheme="minorEastAsia" w:cstheme="minorEastAsia"/>
          <w:b/>
          <w:sz w:val="30"/>
        </w:rPr>
      </w:pPr>
      <w:bookmarkStart w:id="317" w:name="_Toc25459"/>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二</w:t>
      </w:r>
      <w:r>
        <w:rPr>
          <w:rFonts w:hint="eastAsia" w:asciiTheme="minorEastAsia" w:hAnsiTheme="minorEastAsia" w:eastAsiaTheme="minorEastAsia" w:cstheme="minorEastAsia"/>
          <w:b/>
          <w:sz w:val="30"/>
        </w:rPr>
        <w:t>）技术偏离表</w:t>
      </w:r>
      <w:bookmarkEnd w:id="317"/>
    </w:p>
    <w:p>
      <w:pPr>
        <w:pStyle w:val="2"/>
        <w:spacing w:before="10"/>
        <w:rPr>
          <w:b/>
          <w:sz w:val="35"/>
        </w:rPr>
      </w:pPr>
    </w:p>
    <w:p>
      <w:pPr>
        <w:jc w:val="both"/>
        <w:rPr>
          <w:rFonts w:hint="eastAsia" w:ascii="宋体" w:hAnsi="宋体" w:eastAsia="宋体" w:cs="宋体"/>
          <w:sz w:val="24"/>
          <w:lang w:val="en-US"/>
        </w:rPr>
      </w:pPr>
      <w:r>
        <w:rPr>
          <w:rFonts w:hint="eastAsia" w:ascii="宋体" w:hAnsi="宋体" w:eastAsia="宋体" w:cs="宋体"/>
          <w:sz w:val="24"/>
          <w:lang w:val="en-US"/>
        </w:rPr>
        <w:t xml:space="preserve">项目编号： </w:t>
      </w:r>
    </w:p>
    <w:p>
      <w:pPr>
        <w:jc w:val="both"/>
        <w:rPr>
          <w:rFonts w:hint="eastAsia" w:ascii="宋体" w:hAnsi="宋体" w:eastAsia="宋体" w:cs="宋体"/>
          <w:sz w:val="24"/>
          <w:lang w:val="en-US"/>
        </w:rPr>
      </w:pPr>
      <w:r>
        <w:rPr>
          <w:rFonts w:hint="eastAsia" w:ascii="宋体" w:hAnsi="宋体" w:eastAsia="宋体" w:cs="宋体"/>
          <w:sz w:val="24"/>
          <w:lang w:val="en-US"/>
        </w:rPr>
        <w:t>项目名称：</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383"/>
        <w:gridCol w:w="2156"/>
        <w:gridCol w:w="1862"/>
        <w:gridCol w:w="2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序号</w:t>
            </w:r>
          </w:p>
        </w:tc>
        <w:tc>
          <w:tcPr>
            <w:tcW w:w="2383"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产品名称</w:t>
            </w:r>
          </w:p>
        </w:tc>
        <w:tc>
          <w:tcPr>
            <w:tcW w:w="2156"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eastAsia="zh-CN"/>
              </w:rPr>
              <w:t>采购</w:t>
            </w:r>
            <w:r>
              <w:rPr>
                <w:rFonts w:hint="eastAsia" w:ascii="宋体" w:hAnsi="宋体" w:eastAsia="宋体" w:cs="宋体"/>
                <w:sz w:val="24"/>
                <w:lang w:val="en-US"/>
              </w:rPr>
              <w:t>文件对产品的要求</w:t>
            </w:r>
          </w:p>
        </w:tc>
        <w:tc>
          <w:tcPr>
            <w:tcW w:w="1862"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竞标产品响应</w:t>
            </w:r>
          </w:p>
        </w:tc>
        <w:tc>
          <w:tcPr>
            <w:tcW w:w="2156"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偏离及对产品性能的影响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1</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2</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3</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4</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01" w:type="dxa"/>
            <w:noWrap w:val="0"/>
            <w:vAlign w:val="center"/>
          </w:tcPr>
          <w:p>
            <w:pPr>
              <w:jc w:val="center"/>
              <w:rPr>
                <w:rFonts w:hint="eastAsia" w:ascii="宋体" w:hAnsi="宋体" w:eastAsia="宋体" w:cs="宋体"/>
                <w:sz w:val="24"/>
                <w:lang w:val="en-US"/>
              </w:rPr>
            </w:pPr>
            <w:r>
              <w:rPr>
                <w:rFonts w:hint="eastAsia" w:ascii="宋体" w:hAnsi="宋体" w:eastAsia="宋体" w:cs="宋体"/>
                <w:sz w:val="24"/>
                <w:lang w:val="en-US"/>
              </w:rPr>
              <w:t>......</w:t>
            </w:r>
          </w:p>
        </w:tc>
        <w:tc>
          <w:tcPr>
            <w:tcW w:w="2383"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c>
          <w:tcPr>
            <w:tcW w:w="1862" w:type="dxa"/>
            <w:noWrap w:val="0"/>
            <w:vAlign w:val="center"/>
          </w:tcPr>
          <w:p>
            <w:pPr>
              <w:jc w:val="center"/>
              <w:rPr>
                <w:rFonts w:hint="eastAsia" w:ascii="宋体" w:hAnsi="宋体" w:eastAsia="宋体" w:cs="宋体"/>
                <w:sz w:val="24"/>
                <w:lang w:val="en-US"/>
              </w:rPr>
            </w:pPr>
          </w:p>
        </w:tc>
        <w:tc>
          <w:tcPr>
            <w:tcW w:w="2156" w:type="dxa"/>
            <w:noWrap w:val="0"/>
            <w:vAlign w:val="center"/>
          </w:tcPr>
          <w:p>
            <w:pPr>
              <w:jc w:val="center"/>
              <w:rPr>
                <w:rFonts w:hint="eastAsia" w:ascii="宋体" w:hAnsi="宋体" w:eastAsia="宋体" w:cs="宋体"/>
                <w:sz w:val="24"/>
                <w:lang w:val="en-US"/>
              </w:rPr>
            </w:pPr>
          </w:p>
        </w:tc>
      </w:tr>
    </w:tbl>
    <w:p>
      <w:pPr>
        <w:rPr>
          <w:rFonts w:hint="eastAsia" w:ascii="宋体" w:hAnsi="宋体" w:eastAsia="宋体" w:cs="宋体"/>
          <w:sz w:val="24"/>
          <w:lang w:val="en-US"/>
        </w:rPr>
      </w:pPr>
    </w:p>
    <w:p>
      <w:pPr>
        <w:widowControl/>
        <w:rPr>
          <w:rFonts w:hint="eastAsia" w:ascii="宋体" w:hAnsi="宋体" w:eastAsia="宋体" w:cs="宋体"/>
          <w:sz w:val="24"/>
          <w:szCs w:val="24"/>
        </w:rPr>
      </w:pPr>
      <w:r>
        <w:rPr>
          <w:rFonts w:hint="eastAsia" w:ascii="宋体" w:hAnsi="宋体" w:eastAsia="宋体" w:cs="宋体"/>
          <w:color w:val="000000"/>
          <w:sz w:val="24"/>
          <w:szCs w:val="24"/>
          <w:lang w:val="en-US" w:bidi="ar"/>
        </w:rPr>
        <w:t>注：</w:t>
      </w:r>
    </w:p>
    <w:p>
      <w:pPr>
        <w:widowControl/>
        <w:rPr>
          <w:rFonts w:hint="eastAsia" w:ascii="宋体" w:hAnsi="宋体" w:eastAsia="宋体" w:cs="宋体"/>
          <w:sz w:val="24"/>
          <w:szCs w:val="24"/>
        </w:rPr>
      </w:pPr>
      <w:r>
        <w:rPr>
          <w:rFonts w:hint="eastAsia" w:ascii="宋体" w:hAnsi="宋体" w:eastAsia="宋体" w:cs="宋体"/>
          <w:color w:val="000000"/>
          <w:sz w:val="24"/>
          <w:szCs w:val="24"/>
          <w:lang w:val="en-US" w:bidi="ar"/>
        </w:rPr>
        <w:t xml:space="preserve">1、竞标产品的技术参数应根据实际指标逐一填写。 </w:t>
      </w:r>
    </w:p>
    <w:p>
      <w:pPr>
        <w:widowControl/>
        <w:rPr>
          <w:rFonts w:hint="eastAsia" w:ascii="宋体" w:hAnsi="宋体" w:eastAsia="宋体" w:cs="宋体"/>
          <w:sz w:val="24"/>
          <w:szCs w:val="24"/>
          <w:lang w:val="en-US"/>
        </w:rPr>
      </w:pPr>
      <w:r>
        <w:rPr>
          <w:rFonts w:hint="eastAsia" w:ascii="宋体" w:hAnsi="宋体" w:eastAsia="宋体" w:cs="宋体"/>
          <w:color w:val="000000"/>
          <w:sz w:val="24"/>
          <w:szCs w:val="24"/>
          <w:lang w:val="en-US" w:bidi="ar"/>
        </w:rPr>
        <w:t xml:space="preserve">2、供应商必须据实填写，不得虚假响应，否则将取消其竞标或成交资格，并按有关规定进行处罚。 </w:t>
      </w:r>
    </w:p>
    <w:p>
      <w:pPr>
        <w:pStyle w:val="2"/>
      </w:pPr>
    </w:p>
    <w:p>
      <w:pPr>
        <w:pStyle w:val="2"/>
      </w:pPr>
    </w:p>
    <w:p>
      <w:pPr>
        <w:pStyle w:val="2"/>
        <w:spacing w:before="66"/>
        <w:ind w:left="896"/>
        <w:rPr>
          <w:rFonts w:ascii="宋体" w:hAnsi="宋体"/>
          <w:u w:val="single"/>
        </w:rPr>
      </w:pPr>
      <w:bookmarkStart w:id="318" w:name="_Toc22565"/>
      <w:bookmarkStart w:id="319" w:name="_Toc31885"/>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sz w:val="22"/>
          <w:szCs w:val="22"/>
        </w:rPr>
      </w:pPr>
      <w:r>
        <w:rPr>
          <w:rFonts w:hint="eastAsia"/>
          <w:sz w:val="22"/>
          <w:szCs w:val="22"/>
        </w:rPr>
        <w:br w:type="page"/>
      </w:r>
      <w:bookmarkEnd w:id="318"/>
      <w:bookmarkEnd w:id="319"/>
      <w:bookmarkStart w:id="320" w:name="_Toc21645"/>
      <w:bookmarkStart w:id="321" w:name="_Toc496"/>
    </w:p>
    <w:p>
      <w:pPr>
        <w:pStyle w:val="2"/>
        <w:rPr>
          <w:sz w:val="22"/>
          <w:szCs w:val="22"/>
        </w:rPr>
      </w:pPr>
    </w:p>
    <w:p>
      <w:pPr>
        <w:spacing w:before="58"/>
        <w:jc w:val="center"/>
        <w:outlineLvl w:val="1"/>
        <w:rPr>
          <w:rFonts w:asciiTheme="minorEastAsia" w:hAnsiTheme="minorEastAsia" w:eastAsiaTheme="minorEastAsia" w:cstheme="minorEastAsia"/>
          <w:b/>
          <w:sz w:val="30"/>
        </w:rPr>
      </w:pPr>
      <w:bookmarkStart w:id="322" w:name="_Toc1567"/>
      <w:bookmarkStart w:id="323" w:name="_Toc25144"/>
      <w:bookmarkStart w:id="324" w:name="_Toc5586"/>
      <w:r>
        <w:rPr>
          <w:rFonts w:hint="eastAsia" w:asciiTheme="minorEastAsia" w:hAnsiTheme="minorEastAsia" w:eastAsiaTheme="minorEastAsia" w:cstheme="minorEastAsia"/>
          <w:b/>
          <w:sz w:val="30"/>
        </w:rPr>
        <w:t>（</w:t>
      </w:r>
      <w:r>
        <w:rPr>
          <w:rFonts w:hint="eastAsia" w:asciiTheme="minorEastAsia" w:hAnsiTheme="minorEastAsia" w:eastAsiaTheme="minorEastAsia" w:cstheme="minorEastAsia"/>
          <w:b/>
          <w:sz w:val="30"/>
          <w:lang w:val="en-US" w:eastAsia="zh-CN"/>
        </w:rPr>
        <w:t>三</w:t>
      </w:r>
      <w:r>
        <w:rPr>
          <w:rFonts w:hint="eastAsia" w:asciiTheme="minorEastAsia" w:hAnsiTheme="minorEastAsia" w:eastAsiaTheme="minorEastAsia" w:cstheme="minorEastAsia"/>
          <w:b/>
          <w:sz w:val="30"/>
        </w:rPr>
        <w:t>）其他</w:t>
      </w:r>
      <w:bookmarkEnd w:id="322"/>
      <w:bookmarkEnd w:id="323"/>
      <w:bookmarkEnd w:id="324"/>
    </w:p>
    <w:bookmarkEnd w:id="320"/>
    <w:bookmarkEnd w:id="321"/>
    <w:p>
      <w:pPr>
        <w:spacing w:line="480" w:lineRule="exact"/>
        <w:ind w:firstLine="600" w:firstLineChars="250"/>
        <w:rPr>
          <w:rFonts w:cs="Arial"/>
          <w:sz w:val="24"/>
        </w:rPr>
      </w:pPr>
    </w:p>
    <w:p>
      <w:pPr>
        <w:spacing w:line="480" w:lineRule="exact"/>
        <w:ind w:firstLine="600" w:firstLineChars="250"/>
        <w:rPr>
          <w:rFonts w:cs="Arial"/>
          <w:sz w:val="24"/>
        </w:rPr>
      </w:pPr>
      <w:r>
        <w:rPr>
          <w:rFonts w:cs="Arial"/>
          <w:sz w:val="24"/>
        </w:rPr>
        <w:t>本文件应包括如下内容：</w:t>
      </w:r>
    </w:p>
    <w:p>
      <w:pPr>
        <w:spacing w:line="480" w:lineRule="exact"/>
        <w:ind w:firstLine="600" w:firstLineChars="250"/>
        <w:rPr>
          <w:rFonts w:cs="Arial"/>
          <w:sz w:val="24"/>
        </w:rPr>
      </w:pPr>
      <w:r>
        <w:rPr>
          <w:rFonts w:cs="Arial"/>
          <w:sz w:val="24"/>
        </w:rPr>
        <w:t>1</w:t>
      </w:r>
      <w:r>
        <w:rPr>
          <w:rFonts w:hint="eastAsia" w:cs="Arial"/>
          <w:sz w:val="24"/>
        </w:rPr>
        <w:t>．</w:t>
      </w:r>
      <w:r>
        <w:rPr>
          <w:rFonts w:hint="eastAsia" w:cs="Arial"/>
          <w:sz w:val="24"/>
          <w:lang w:eastAsia="zh-CN"/>
        </w:rPr>
        <w:t>磋商文件</w:t>
      </w:r>
      <w:r>
        <w:rPr>
          <w:rFonts w:cs="Arial"/>
          <w:sz w:val="24"/>
        </w:rPr>
        <w:t>要求</w:t>
      </w:r>
      <w:r>
        <w:rPr>
          <w:rFonts w:hint="eastAsia" w:cs="Arial"/>
          <w:sz w:val="24"/>
        </w:rPr>
        <w:t>供应商</w:t>
      </w:r>
      <w:r>
        <w:rPr>
          <w:rFonts w:cs="Arial"/>
          <w:sz w:val="24"/>
        </w:rPr>
        <w:t>须提交的其它资料；</w:t>
      </w:r>
    </w:p>
    <w:p>
      <w:pPr>
        <w:spacing w:line="480" w:lineRule="exact"/>
        <w:ind w:firstLine="600" w:firstLineChars="250"/>
        <w:rPr>
          <w:rFonts w:cs="Arial"/>
          <w:sz w:val="24"/>
        </w:rPr>
      </w:pPr>
      <w:r>
        <w:rPr>
          <w:rFonts w:cs="Arial"/>
          <w:sz w:val="24"/>
        </w:rPr>
        <w:t>2</w:t>
      </w:r>
      <w:r>
        <w:rPr>
          <w:rFonts w:hint="eastAsia" w:cs="Arial"/>
          <w:sz w:val="24"/>
        </w:rPr>
        <w:t>．供应商</w:t>
      </w:r>
      <w:r>
        <w:rPr>
          <w:rFonts w:cs="Arial"/>
          <w:sz w:val="24"/>
        </w:rPr>
        <w:t>认为需加以说明的其它</w:t>
      </w:r>
      <w:r>
        <w:rPr>
          <w:rFonts w:hint="eastAsia" w:cs="Arial"/>
          <w:sz w:val="24"/>
        </w:rPr>
        <w:t>技术</w:t>
      </w:r>
      <w:r>
        <w:rPr>
          <w:rFonts w:cs="Arial"/>
          <w:sz w:val="24"/>
        </w:rPr>
        <w:t>内容。</w:t>
      </w:r>
    </w:p>
    <w:p>
      <w:pPr>
        <w:spacing w:line="480" w:lineRule="exact"/>
        <w:ind w:firstLine="600" w:firstLineChars="250"/>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rFonts w:cs="Arial"/>
          <w:sz w:val="24"/>
        </w:rPr>
      </w:pPr>
    </w:p>
    <w:p>
      <w:pPr>
        <w:pStyle w:val="28"/>
        <w:tabs>
          <w:tab w:val="right" w:leader="dot" w:pos="9459"/>
        </w:tabs>
        <w:rPr>
          <w:rFonts w:cs="Arial"/>
          <w:sz w:val="24"/>
        </w:rPr>
      </w:pPr>
    </w:p>
    <w:p>
      <w:pPr>
        <w:rPr>
          <w:sz w:val="24"/>
        </w:rPr>
      </w:pPr>
    </w:p>
    <w:p>
      <w:pPr>
        <w:pStyle w:val="2"/>
        <w:spacing w:before="66"/>
        <w:ind w:left="896"/>
        <w:rPr>
          <w:rFonts w:ascii="宋体" w:hAnsi="宋体"/>
          <w:u w:val="single"/>
        </w:rPr>
      </w:pPr>
      <w:bookmarkStart w:id="325" w:name="_Toc17439"/>
      <w:bookmarkStart w:id="326" w:name="_Toc4172_WPSOffice_Level2"/>
      <w:bookmarkStart w:id="327" w:name="_Toc6381"/>
      <w:bookmarkStart w:id="328" w:name="_Toc30510_WPSOffice_Level2"/>
      <w:r>
        <w:rPr>
          <w:rFonts w:hint="eastAsia" w:asciiTheme="minorEastAsia" w:hAnsiTheme="minorEastAsia" w:eastAsiaTheme="minorEastAsia" w:cstheme="minorEastAsia"/>
          <w:kern w:val="0"/>
        </w:rPr>
        <w:t>单位名称（盖章）：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法定代表人或委托代理人（签字或盖章）：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rPr>
          <w:b/>
          <w:bCs/>
          <w:sz w:val="22"/>
          <w:szCs w:val="22"/>
        </w:rPr>
      </w:pPr>
      <w:r>
        <w:rPr>
          <w:rFonts w:hint="eastAsia"/>
          <w:b/>
          <w:bCs/>
          <w:sz w:val="22"/>
          <w:szCs w:val="22"/>
        </w:rPr>
        <w:br w:type="page"/>
      </w:r>
    </w:p>
    <w:p>
      <w:pPr>
        <w:spacing w:before="58"/>
        <w:jc w:val="center"/>
        <w:outlineLvl w:val="0"/>
        <w:rPr>
          <w:rFonts w:asciiTheme="minorEastAsia" w:hAnsiTheme="minorEastAsia" w:eastAsiaTheme="minorEastAsia" w:cstheme="minorEastAsia"/>
          <w:b/>
          <w:sz w:val="30"/>
        </w:rPr>
      </w:pPr>
      <w:bookmarkStart w:id="329" w:name="_Toc32758"/>
      <w:bookmarkStart w:id="330" w:name="_Toc14516"/>
      <w:bookmarkStart w:id="331" w:name="_Toc15235"/>
      <w:bookmarkStart w:id="332" w:name="_Toc32762"/>
      <w:bookmarkStart w:id="333" w:name="_Toc14563"/>
      <w:r>
        <w:rPr>
          <w:rFonts w:hint="eastAsia" w:asciiTheme="minorEastAsia" w:hAnsiTheme="minorEastAsia" w:eastAsiaTheme="minorEastAsia" w:cstheme="minorEastAsia"/>
          <w:b/>
          <w:sz w:val="30"/>
        </w:rPr>
        <w:t>五、其他部分</w:t>
      </w:r>
      <w:bookmarkEnd w:id="329"/>
      <w:bookmarkEnd w:id="330"/>
      <w:bookmarkEnd w:id="331"/>
      <w:bookmarkEnd w:id="332"/>
      <w:bookmarkEnd w:id="333"/>
    </w:p>
    <w:bookmarkEnd w:id="325"/>
    <w:bookmarkEnd w:id="326"/>
    <w:bookmarkEnd w:id="327"/>
    <w:bookmarkEnd w:id="328"/>
    <w:p>
      <w:pPr>
        <w:pStyle w:val="2"/>
        <w:spacing w:before="12"/>
        <w:rPr>
          <w:rFonts w:asciiTheme="minorEastAsia" w:hAnsiTheme="minorEastAsia" w:eastAsiaTheme="minorEastAsia" w:cstheme="minorEastAsia"/>
          <w:b/>
          <w:sz w:val="35"/>
        </w:rPr>
      </w:pPr>
    </w:p>
    <w:p>
      <w:pPr>
        <w:pStyle w:val="169"/>
        <w:tabs>
          <w:tab w:val="left" w:pos="4789"/>
        </w:tabs>
        <w:ind w:firstLine="0" w:firstLineChars="0"/>
        <w:jc w:val="center"/>
        <w:outlineLvl w:val="1"/>
      </w:pPr>
      <w:bookmarkStart w:id="334" w:name="_Toc11342"/>
      <w:bookmarkStart w:id="335" w:name="_Toc17791"/>
      <w:bookmarkStart w:id="336" w:name="_Toc8810"/>
      <w:r>
        <w:rPr>
          <w:rFonts w:hint="eastAsia" w:asciiTheme="minorEastAsia" w:hAnsiTheme="minorEastAsia" w:eastAsiaTheme="minorEastAsia" w:cstheme="minorEastAsia"/>
          <w:b/>
          <w:sz w:val="24"/>
        </w:rPr>
        <w:t>（一）中小企业声明函</w:t>
      </w:r>
      <w:bookmarkEnd w:id="334"/>
      <w:bookmarkEnd w:id="335"/>
      <w:r>
        <w:rPr>
          <w:rFonts w:ascii="宋体" w:hAnsi="宋体"/>
          <w:b/>
          <w:sz w:val="24"/>
        </w:rPr>
        <w:t>（</w:t>
      </w:r>
      <w:r>
        <w:rPr>
          <w:rFonts w:hint="eastAsia" w:ascii="宋体" w:hAnsi="宋体"/>
          <w:b/>
          <w:sz w:val="24"/>
          <w:lang w:val="en-US" w:eastAsia="zh-CN"/>
        </w:rPr>
        <w:t>工程、</w:t>
      </w:r>
      <w:r>
        <w:rPr>
          <w:rFonts w:ascii="宋体" w:hAnsi="宋体"/>
          <w:b/>
          <w:sz w:val="24"/>
        </w:rPr>
        <w:t>服务）</w:t>
      </w:r>
      <w:bookmarkEnd w:id="336"/>
    </w:p>
    <w:p>
      <w:pPr>
        <w:pStyle w:val="175"/>
        <w:spacing w:line="360" w:lineRule="auto"/>
        <w:jc w:val="center"/>
        <w:outlineLvl w:val="0"/>
        <w:rPr>
          <w:rFonts w:ascii="宋体" w:hAnsi="宋体"/>
          <w:spacing w:val="6"/>
          <w:sz w:val="24"/>
        </w:rPr>
      </w:pPr>
      <w:bookmarkStart w:id="337" w:name="_Toc16863"/>
      <w:bookmarkStart w:id="338" w:name="_Toc4228"/>
      <w:r>
        <w:rPr>
          <w:rFonts w:hint="eastAsia" w:ascii="宋体" w:hAnsi="宋体"/>
          <w:spacing w:val="6"/>
          <w:sz w:val="24"/>
        </w:rPr>
        <w:t>【中小企业提供】</w:t>
      </w:r>
      <w:bookmarkEnd w:id="337"/>
      <w:bookmarkEnd w:id="338"/>
    </w:p>
    <w:p>
      <w:pPr>
        <w:widowControl/>
        <w:spacing w:line="360" w:lineRule="auto"/>
        <w:ind w:right="6"/>
        <w:rPr>
          <w:rFonts w:ascii="宋体" w:hAnsi="宋体" w:cs="宋体"/>
          <w:b/>
          <w:bCs/>
          <w:kern w:val="0"/>
          <w:sz w:val="36"/>
          <w:szCs w:val="36"/>
        </w:rPr>
      </w:pPr>
    </w:p>
    <w:p>
      <w:pPr>
        <w:spacing w:line="360" w:lineRule="auto"/>
        <w:ind w:left="120" w:right="138" w:firstLine="640"/>
        <w:rPr>
          <w:rFonts w:ascii="宋体" w:hAnsi="宋体" w:cs="宋体"/>
          <w:kern w:val="0"/>
          <w:sz w:val="24"/>
        </w:rPr>
      </w:pPr>
      <w:r>
        <w:rPr>
          <w:rFonts w:ascii="宋体" w:hAnsi="宋体" w:cs="宋体"/>
          <w:color w:val="000000"/>
          <w:kern w:val="0"/>
          <w:sz w:val="24"/>
        </w:rPr>
        <w:t>本公司（联合体）郑重声明，根据《政府采购促进中小企业发展管理办法》（财库﹝2020﹞46 号）的规定，本公司（联合体）参加</w:t>
      </w:r>
      <w:r>
        <w:rPr>
          <w:rFonts w:ascii="宋体" w:hAnsi="宋体" w:cs="宋体"/>
          <w:color w:val="000000"/>
          <w:kern w:val="0"/>
          <w:sz w:val="24"/>
          <w:u w:val="single"/>
        </w:rPr>
        <w:t>（单位名称）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的</w:t>
      </w:r>
      <w:r>
        <w:rPr>
          <w:rFonts w:ascii="宋体" w:hAnsi="宋体" w:cs="宋体"/>
          <w:color w:val="000000"/>
          <w:kern w:val="0"/>
          <w:sz w:val="24"/>
          <w:u w:val="single"/>
        </w:rPr>
        <w:t>（项目名称）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采购活动，服务全部由符合政策要求的中小企业承接。相关企业（含联合体中的中小企业、签订分包意向协</w:t>
      </w:r>
      <w:r>
        <w:rPr>
          <w:rFonts w:ascii="宋体" w:hAnsi="宋体" w:cs="宋体"/>
          <w:kern w:val="0"/>
          <w:sz w:val="24"/>
        </w:rPr>
        <w:t>议的中小企业）的具体情况如下：</w:t>
      </w:r>
    </w:p>
    <w:p>
      <w:pPr>
        <w:tabs>
          <w:tab w:val="left" w:pos="1706"/>
          <w:tab w:val="left" w:pos="3945"/>
          <w:tab w:val="left" w:pos="6630"/>
        </w:tabs>
        <w:spacing w:before="11" w:line="360" w:lineRule="auto"/>
        <w:ind w:left="105" w:right="138" w:firstLine="655"/>
        <w:rPr>
          <w:rFonts w:ascii="宋体" w:hAnsi="宋体" w:cs="宋体"/>
          <w:color w:val="000000"/>
          <w:kern w:val="0"/>
          <w:sz w:val="24"/>
        </w:rPr>
      </w:pPr>
      <w:r>
        <w:rPr>
          <w:rFonts w:ascii="宋体" w:hAnsi="宋体" w:cs="宋体"/>
          <w:kern w:val="0"/>
          <w:sz w:val="24"/>
        </w:rPr>
        <w:t>1.</w:t>
      </w:r>
      <w:r>
        <w:rPr>
          <w:rFonts w:ascii="宋体" w:hAnsi="宋体" w:cs="宋体"/>
          <w:kern w:val="0"/>
          <w:sz w:val="24"/>
          <w:u w:val="single"/>
        </w:rPr>
        <w:t>（标的名称）</w:t>
      </w:r>
      <w:r>
        <w:rPr>
          <w:rFonts w:ascii="宋体" w:hAnsi="宋体" w:cs="宋体"/>
          <w:kern w:val="0"/>
          <w:sz w:val="24"/>
        </w:rPr>
        <w:t>，属于</w:t>
      </w:r>
      <w:r>
        <w:rPr>
          <w:rFonts w:hint="eastAsia" w:ascii="宋体" w:hAnsi="宋体" w:cs="宋体"/>
          <w:kern w:val="0"/>
          <w:sz w:val="24"/>
          <w:u w:val="single"/>
        </w:rPr>
        <w:t>其他未列明行业</w:t>
      </w:r>
      <w:r>
        <w:rPr>
          <w:rFonts w:ascii="宋体" w:hAnsi="宋体" w:cs="宋体"/>
          <w:kern w:val="0"/>
          <w:sz w:val="24"/>
        </w:rPr>
        <w:t>；</w:t>
      </w:r>
      <w:r>
        <w:rPr>
          <w:rFonts w:ascii="宋体" w:hAnsi="宋体" w:cs="宋体"/>
          <w:color w:val="000000"/>
          <w:kern w:val="0"/>
          <w:sz w:val="24"/>
        </w:rPr>
        <w:t xml:space="preserve"> 承接企业为</w:t>
      </w:r>
      <w:r>
        <w:rPr>
          <w:rFonts w:ascii="宋体" w:hAnsi="宋体" w:cs="宋体"/>
          <w:color w:val="000000"/>
          <w:kern w:val="0"/>
          <w:sz w:val="24"/>
          <w:u w:val="single"/>
        </w:rPr>
        <w:t>（企业名称）</w:t>
      </w:r>
      <w:r>
        <w:rPr>
          <w:rFonts w:hint="eastAsia" w:ascii="宋体" w:hAnsi="宋体" w:cs="宋体"/>
          <w:color w:val="000000"/>
          <w:kern w:val="0"/>
          <w:sz w:val="24"/>
          <w:u w:val="single"/>
        </w:rPr>
        <w:t xml:space="preserve"> </w:t>
      </w:r>
      <w:r>
        <w:rPr>
          <w:rFonts w:ascii="宋体" w:hAnsi="宋体" w:cs="宋体"/>
          <w:color w:val="000000"/>
          <w:kern w:val="0"/>
          <w:sz w:val="24"/>
          <w:u w:val="single"/>
        </w:rPr>
        <w:t xml:space="preserve"> </w:t>
      </w:r>
      <w:r>
        <w:rPr>
          <w:rFonts w:ascii="宋体" w:hAnsi="宋体" w:cs="宋体"/>
          <w:color w:val="000000"/>
          <w:kern w:val="0"/>
          <w:sz w:val="24"/>
        </w:rPr>
        <w:t>，从业人员</w:t>
      </w:r>
      <w:r>
        <w:rPr>
          <w:rFonts w:ascii="宋体" w:hAnsi="宋体" w:cs="宋体"/>
          <w:color w:val="000000"/>
          <w:kern w:val="0"/>
          <w:sz w:val="24"/>
          <w:u w:val="single"/>
        </w:rPr>
        <w:t xml:space="preserve">    </w:t>
      </w:r>
      <w:r>
        <w:rPr>
          <w:rFonts w:ascii="宋体" w:hAnsi="宋体" w:cs="宋体"/>
          <w:color w:val="000000"/>
          <w:kern w:val="0"/>
          <w:sz w:val="24"/>
        </w:rPr>
        <w:t>人，营业 收入为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ascii="宋体" w:hAnsi="宋体" w:cs="宋体"/>
          <w:color w:val="000000"/>
          <w:kern w:val="0"/>
          <w:sz w:val="24"/>
        </w:rPr>
        <w:t xml:space="preserve">万元，资产总额为 </w:t>
      </w:r>
      <w:r>
        <w:rPr>
          <w:rFonts w:ascii="宋体" w:hAnsi="宋体" w:cs="宋体"/>
          <w:color w:val="000000"/>
          <w:kern w:val="0"/>
          <w:sz w:val="24"/>
          <w:u w:val="single"/>
        </w:rPr>
        <w:tab/>
      </w:r>
      <w:r>
        <w:rPr>
          <w:rFonts w:ascii="宋体" w:hAnsi="宋体" w:cs="宋体"/>
          <w:color w:val="000000"/>
          <w:kern w:val="0"/>
          <w:sz w:val="24"/>
        </w:rPr>
        <w:t>万元，属于</w:t>
      </w:r>
      <w:r>
        <w:rPr>
          <w:rFonts w:ascii="宋体" w:hAnsi="宋体" w:cs="宋体"/>
          <w:color w:val="000000"/>
          <w:kern w:val="0"/>
          <w:sz w:val="24"/>
          <w:u w:val="single"/>
        </w:rPr>
        <w:t>（中型企业、 小型企业、微型企业）</w:t>
      </w:r>
      <w:r>
        <w:rPr>
          <w:rFonts w:ascii="宋体" w:hAnsi="宋体" w:cs="宋体"/>
          <w:color w:val="000000"/>
          <w:kern w:val="0"/>
          <w:sz w:val="24"/>
        </w:rPr>
        <w:t>；</w:t>
      </w:r>
    </w:p>
    <w:p>
      <w:pPr>
        <w:tabs>
          <w:tab w:val="left" w:pos="1706"/>
          <w:tab w:val="left" w:pos="4905"/>
          <w:tab w:val="left" w:pos="7113"/>
        </w:tabs>
        <w:spacing w:before="23" w:line="360" w:lineRule="auto"/>
        <w:ind w:left="105" w:right="138" w:firstLine="655"/>
        <w:rPr>
          <w:rFonts w:ascii="宋体" w:hAnsi="宋体" w:cs="宋体"/>
          <w:color w:val="000000"/>
          <w:kern w:val="0"/>
          <w:sz w:val="24"/>
        </w:rPr>
      </w:pPr>
      <w:r>
        <w:rPr>
          <w:rFonts w:ascii="宋体" w:hAnsi="宋体" w:cs="宋体"/>
          <w:color w:val="000000"/>
          <w:kern w:val="0"/>
          <w:sz w:val="24"/>
        </w:rPr>
        <w:t xml:space="preserve">2. </w:t>
      </w:r>
      <w:r>
        <w:rPr>
          <w:rFonts w:ascii="宋体" w:hAnsi="宋体" w:cs="宋体"/>
          <w:color w:val="000000"/>
          <w:kern w:val="0"/>
          <w:sz w:val="24"/>
          <w:u w:val="single"/>
        </w:rPr>
        <w:t>（标的名称）</w:t>
      </w:r>
      <w:r>
        <w:rPr>
          <w:rFonts w:ascii="宋体" w:hAnsi="宋体" w:cs="宋体"/>
          <w:color w:val="000000"/>
          <w:kern w:val="0"/>
          <w:sz w:val="24"/>
        </w:rPr>
        <w:t>，属于</w:t>
      </w:r>
      <w:r>
        <w:rPr>
          <w:rFonts w:hint="eastAsia" w:ascii="宋体" w:hAnsi="宋体" w:cs="宋体"/>
          <w:kern w:val="0"/>
          <w:sz w:val="24"/>
          <w:u w:val="single"/>
        </w:rPr>
        <w:t>其他未列明行业</w:t>
      </w:r>
      <w:r>
        <w:rPr>
          <w:rFonts w:ascii="宋体" w:hAnsi="宋体" w:cs="宋体"/>
          <w:color w:val="000000"/>
          <w:kern w:val="0"/>
          <w:sz w:val="24"/>
        </w:rPr>
        <w:t>； 承接企业为</w:t>
      </w:r>
      <w:r>
        <w:rPr>
          <w:rFonts w:ascii="宋体" w:hAnsi="宋体" w:cs="宋体"/>
          <w:color w:val="000000"/>
          <w:kern w:val="0"/>
          <w:sz w:val="24"/>
          <w:u w:val="single"/>
        </w:rPr>
        <w:t>（企业名称）</w:t>
      </w:r>
      <w:r>
        <w:rPr>
          <w:rFonts w:ascii="宋体" w:hAnsi="宋体" w:cs="宋体"/>
          <w:color w:val="000000"/>
          <w:kern w:val="0"/>
          <w:sz w:val="24"/>
        </w:rPr>
        <w:t>，从业人员</w:t>
      </w:r>
      <w:r>
        <w:rPr>
          <w:rFonts w:ascii="宋体" w:hAnsi="宋体" w:cs="宋体"/>
          <w:color w:val="000000"/>
          <w:kern w:val="0"/>
          <w:sz w:val="24"/>
          <w:u w:val="single"/>
        </w:rPr>
        <w:t xml:space="preserve">    </w:t>
      </w:r>
      <w:r>
        <w:rPr>
          <w:rFonts w:ascii="宋体" w:hAnsi="宋体" w:cs="宋体"/>
          <w:color w:val="000000"/>
          <w:kern w:val="0"/>
          <w:sz w:val="24"/>
        </w:rPr>
        <w:t>人，营业 收入为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ascii="宋体" w:hAnsi="宋体" w:cs="宋体"/>
          <w:color w:val="000000"/>
          <w:kern w:val="0"/>
          <w:sz w:val="24"/>
        </w:rPr>
        <w:t>万元，资产总额为</w:t>
      </w:r>
      <w:r>
        <w:rPr>
          <w:rFonts w:ascii="宋体" w:hAnsi="宋体" w:cs="宋体"/>
          <w:color w:val="000000"/>
          <w:kern w:val="0"/>
          <w:sz w:val="24"/>
          <w:u w:val="single"/>
        </w:rPr>
        <w:t xml:space="preserve"> </w:t>
      </w:r>
      <w:r>
        <w:rPr>
          <w:rFonts w:ascii="宋体" w:hAnsi="宋体" w:cs="宋体"/>
          <w:color w:val="000000"/>
          <w:kern w:val="0"/>
          <w:sz w:val="24"/>
          <w:u w:val="single"/>
        </w:rPr>
        <w:tab/>
      </w:r>
      <w:r>
        <w:rPr>
          <w:rFonts w:hint="eastAsia" w:ascii="宋体" w:hAnsi="宋体" w:cs="宋体"/>
          <w:color w:val="000000"/>
          <w:kern w:val="0"/>
          <w:sz w:val="24"/>
          <w:u w:val="single"/>
        </w:rPr>
        <w:t xml:space="preserve">  </w:t>
      </w:r>
      <w:r>
        <w:rPr>
          <w:rFonts w:ascii="宋体" w:hAnsi="宋体" w:cs="宋体"/>
          <w:color w:val="000000"/>
          <w:kern w:val="0"/>
          <w:sz w:val="24"/>
        </w:rPr>
        <w:t>万元</w:t>
      </w:r>
      <w:r>
        <w:fldChar w:fldCharType="begin"/>
      </w:r>
      <w:r>
        <w:instrText xml:space="preserve"> HYPERLINK \l "_bookmark1" </w:instrText>
      </w:r>
      <w:r>
        <w:fldChar w:fldCharType="separate"/>
      </w:r>
      <w:r>
        <w:rPr>
          <w:rFonts w:ascii="宋体" w:hAnsi="宋体" w:cs="宋体"/>
          <w:b/>
          <w:color w:val="000000"/>
          <w:kern w:val="0"/>
          <w:sz w:val="24"/>
          <w:shd w:val="pct10" w:color="auto" w:fill="FFFFFF"/>
          <w:vertAlign w:val="superscript"/>
        </w:rPr>
        <w:t>1</w:t>
      </w:r>
      <w:r>
        <w:rPr>
          <w:rFonts w:ascii="宋体" w:hAnsi="宋体" w:cs="宋体"/>
          <w:b/>
          <w:color w:val="000000"/>
          <w:kern w:val="0"/>
          <w:sz w:val="24"/>
          <w:shd w:val="pct10" w:color="auto" w:fill="FFFFFF"/>
          <w:vertAlign w:val="superscript"/>
        </w:rPr>
        <w:fldChar w:fldCharType="end"/>
      </w:r>
      <w:r>
        <w:rPr>
          <w:rFonts w:ascii="宋体" w:hAnsi="宋体" w:cs="宋体"/>
          <w:color w:val="000000"/>
          <w:kern w:val="0"/>
          <w:sz w:val="24"/>
        </w:rPr>
        <w:t>，属于</w:t>
      </w:r>
      <w:r>
        <w:rPr>
          <w:rFonts w:ascii="宋体" w:hAnsi="宋体" w:cs="宋体"/>
          <w:color w:val="000000"/>
          <w:kern w:val="0"/>
          <w:sz w:val="24"/>
          <w:u w:val="single"/>
        </w:rPr>
        <w:t>（中型企业、 小型企业、微型企业）</w:t>
      </w:r>
      <w:r>
        <w:rPr>
          <w:rFonts w:ascii="宋体" w:hAnsi="宋体" w:cs="宋体"/>
          <w:color w:val="000000"/>
          <w:kern w:val="0"/>
          <w:sz w:val="24"/>
        </w:rPr>
        <w:t>；</w:t>
      </w:r>
    </w:p>
    <w:p>
      <w:pPr>
        <w:spacing w:before="34" w:line="360" w:lineRule="auto"/>
        <w:ind w:left="765" w:right="138" w:hanging="5"/>
        <w:rPr>
          <w:rFonts w:ascii="宋体" w:hAnsi="宋体" w:cs="宋体"/>
          <w:color w:val="000000"/>
          <w:kern w:val="0"/>
          <w:sz w:val="24"/>
        </w:rPr>
      </w:pPr>
      <w:r>
        <w:rPr>
          <w:rFonts w:ascii="宋体" w:hAnsi="宋体" w:cs="宋体"/>
          <w:color w:val="000000"/>
          <w:kern w:val="0"/>
          <w:sz w:val="24"/>
        </w:rPr>
        <w:t xml:space="preserve">…… </w:t>
      </w:r>
    </w:p>
    <w:p>
      <w:pPr>
        <w:widowControl/>
        <w:spacing w:line="360" w:lineRule="auto"/>
        <w:ind w:right="6" w:firstLine="720" w:firstLineChars="300"/>
        <w:jc w:val="left"/>
        <w:rPr>
          <w:rFonts w:ascii="宋体" w:hAnsi="宋体" w:cs="宋体"/>
          <w:color w:val="000000"/>
          <w:kern w:val="0"/>
          <w:sz w:val="24"/>
        </w:rPr>
      </w:pPr>
      <w:r>
        <w:rPr>
          <w:rFonts w:ascii="宋体" w:hAnsi="宋体" w:cs="宋体"/>
          <w:color w:val="000000"/>
          <w:kern w:val="0"/>
          <w:sz w:val="24"/>
        </w:rPr>
        <w:t>以上企业，不属于大企业的分支机构，不存在控股股东为大企业的情形，也不存在与大企业的负责人为同一人的情形。</w:t>
      </w:r>
    </w:p>
    <w:p>
      <w:pPr>
        <w:spacing w:before="23" w:line="360" w:lineRule="auto"/>
        <w:ind w:left="120" w:right="138" w:firstLine="640"/>
        <w:jc w:val="left"/>
        <w:rPr>
          <w:rFonts w:ascii="宋体" w:hAnsi="宋体" w:cs="宋体"/>
          <w:color w:val="000000"/>
          <w:kern w:val="0"/>
          <w:sz w:val="24"/>
        </w:rPr>
      </w:pPr>
      <w:r>
        <w:rPr>
          <w:rFonts w:ascii="宋体" w:hAnsi="宋体" w:cs="宋体"/>
          <w:color w:val="000000"/>
          <w:kern w:val="0"/>
          <w:sz w:val="24"/>
        </w:rPr>
        <w:t>本企业对上述声明内容的真实性负责。如有虚假，将依法承担相应责任。</w:t>
      </w:r>
    </w:p>
    <w:p>
      <w:pPr>
        <w:spacing w:before="56" w:line="309" w:lineRule="auto"/>
        <w:ind w:left="3960" w:right="1748"/>
        <w:jc w:val="left"/>
        <w:rPr>
          <w:rFonts w:ascii="等线" w:hAnsi="等线"/>
          <w:w w:val="99"/>
          <w:kern w:val="0"/>
          <w:sz w:val="24"/>
        </w:rPr>
      </w:pPr>
      <w:r>
        <w:rPr>
          <w:rFonts w:ascii="等线" w:hAnsi="等线"/>
          <w:spacing w:val="-18"/>
          <w:kern w:val="0"/>
          <w:sz w:val="24"/>
        </w:rPr>
        <w:t>企业名称（盖章）：</w:t>
      </w:r>
      <w:r>
        <w:rPr>
          <w:rFonts w:ascii="等线" w:hAnsi="等线"/>
          <w:w w:val="99"/>
          <w:kern w:val="0"/>
          <w:sz w:val="24"/>
        </w:rPr>
        <w:t xml:space="preserve"> </w:t>
      </w:r>
    </w:p>
    <w:p>
      <w:pPr>
        <w:spacing w:before="56" w:line="309" w:lineRule="auto"/>
        <w:ind w:left="3960" w:right="1748"/>
        <w:jc w:val="left"/>
        <w:rPr>
          <w:rFonts w:ascii="等线" w:hAnsi="等线"/>
          <w:kern w:val="0"/>
          <w:sz w:val="24"/>
        </w:rPr>
      </w:pPr>
      <w:r>
        <w:rPr>
          <w:rFonts w:ascii="等线" w:hAnsi="等线"/>
          <w:kern w:val="0"/>
          <w:sz w:val="24"/>
        </w:rPr>
        <w:t>日</w:t>
      </w:r>
      <w:r>
        <w:rPr>
          <w:rFonts w:ascii="等线" w:hAnsi="等线"/>
          <w:spacing w:val="-91"/>
          <w:kern w:val="0"/>
          <w:sz w:val="24"/>
        </w:rPr>
        <w:t xml:space="preserve"> </w:t>
      </w:r>
      <w:r>
        <w:rPr>
          <w:rFonts w:ascii="等线" w:hAnsi="等线"/>
          <w:kern w:val="0"/>
          <w:sz w:val="24"/>
        </w:rPr>
        <w:t>期：</w:t>
      </w:r>
    </w:p>
    <w:p>
      <w:pPr>
        <w:spacing w:before="56" w:line="309" w:lineRule="auto"/>
        <w:ind w:left="3960" w:right="1748"/>
        <w:jc w:val="left"/>
        <w:rPr>
          <w:rFonts w:ascii="宋体" w:hAnsi="宋体"/>
          <w:kern w:val="0"/>
          <w:sz w:val="24"/>
        </w:rPr>
      </w:pPr>
    </w:p>
    <w:p>
      <w:pPr>
        <w:wordWrap w:val="0"/>
        <w:spacing w:line="310" w:lineRule="auto"/>
        <w:jc w:val="left"/>
        <w:rPr>
          <w:rFonts w:ascii="Calibri" w:hAnsi="Calibri"/>
          <w:kern w:val="0"/>
          <w:sz w:val="22"/>
        </w:rPr>
      </w:pPr>
    </w:p>
    <w:p>
      <w:pPr>
        <w:wordWrap w:val="0"/>
        <w:spacing w:line="310" w:lineRule="auto"/>
        <w:jc w:val="left"/>
        <w:rPr>
          <w:rFonts w:ascii="Calibri" w:hAnsi="Calibri"/>
          <w:kern w:val="0"/>
          <w:sz w:val="22"/>
        </w:rPr>
      </w:pPr>
    </w:p>
    <w:p>
      <w:pPr>
        <w:wordWrap w:val="0"/>
        <w:spacing w:line="310" w:lineRule="auto"/>
        <w:jc w:val="left"/>
        <w:rPr>
          <w:rFonts w:ascii="Calibri" w:hAnsi="Calibri"/>
          <w:kern w:val="0"/>
          <w:sz w:val="22"/>
        </w:rPr>
      </w:pPr>
      <w:r>
        <w:rPr>
          <w:rFonts w:hint="eastAsia" w:ascii="Calibri" w:hAnsi="Calibri"/>
          <w:kern w:val="0"/>
          <w:sz w:val="22"/>
        </w:rPr>
        <w:t>1：从业人员、营业收入、资产总额填报上一年度数据，无上一年度数据的新成立企业可不填报。</w:t>
      </w:r>
    </w:p>
    <w:tbl>
      <w:tblPr>
        <w:tblStyle w:val="45"/>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3075"/>
        <w:gridCol w:w="3075"/>
        <w:gridCol w:w="307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4" w:hRule="atLeast"/>
          <w:jc w:val="center"/>
        </w:trPr>
        <w:tc>
          <w:tcPr>
            <w:tcW w:w="9226" w:type="dxa"/>
            <w:gridSpan w:val="3"/>
            <w:tcBorders>
              <w:bottom w:val="single" w:color="000000" w:sz="2" w:space="0"/>
            </w:tcBorders>
          </w:tcPr>
          <w:p>
            <w:pPr>
              <w:pStyle w:val="167"/>
              <w:spacing w:before="51"/>
              <w:ind w:right="4161" w:firstLine="2640" w:firstLineChars="1100"/>
              <w:jc w:val="both"/>
              <w:rPr>
                <w:rFonts w:hint="default" w:eastAsia="宋体"/>
                <w:sz w:val="24"/>
                <w:lang w:val="en-US" w:eastAsia="zh-CN"/>
              </w:rPr>
            </w:pPr>
            <w:r>
              <w:rPr>
                <w:sz w:val="24"/>
              </w:rPr>
              <w:t>投标人</w:t>
            </w:r>
            <w:r>
              <w:rPr>
                <w:rFonts w:hint="eastAsia"/>
                <w:sz w:val="24"/>
                <w:lang w:eastAsia="zh-CN"/>
              </w:rPr>
              <w:t>：</w:t>
            </w:r>
            <w:r>
              <w:rPr>
                <w:rFonts w:hint="eastAsia"/>
                <w:sz w:val="24"/>
                <w:u w:val="single"/>
                <w:lang w:val="en-US" w:eastAsia="zh-CN"/>
              </w:rPr>
              <w:t xml:space="preserve">                    </w:t>
            </w:r>
            <w:r>
              <w:rPr>
                <w:rFonts w:hint="eastAsia"/>
                <w:sz w:val="24"/>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22" w:hRule="atLeast"/>
          <w:jc w:val="center"/>
        </w:trPr>
        <w:tc>
          <w:tcPr>
            <w:tcW w:w="3075" w:type="dxa"/>
            <w:tcBorders>
              <w:top w:val="single" w:color="000000" w:sz="2" w:space="0"/>
              <w:bottom w:val="single" w:color="000000" w:sz="2" w:space="0"/>
              <w:right w:val="single" w:color="000000" w:sz="2" w:space="0"/>
            </w:tcBorders>
          </w:tcPr>
          <w:p>
            <w:pPr>
              <w:pStyle w:val="167"/>
              <w:spacing w:before="94"/>
              <w:ind w:left="1036" w:right="1012"/>
              <w:jc w:val="center"/>
              <w:rPr>
                <w:sz w:val="24"/>
              </w:rPr>
            </w:pPr>
            <w:r>
              <w:rPr>
                <w:sz w:val="24"/>
              </w:rPr>
              <w:t>从业人员</w:t>
            </w:r>
          </w:p>
        </w:tc>
        <w:tc>
          <w:tcPr>
            <w:tcW w:w="3075" w:type="dxa"/>
            <w:tcBorders>
              <w:top w:val="single" w:color="000000" w:sz="2" w:space="0"/>
              <w:left w:val="single" w:color="000000" w:sz="2" w:space="0"/>
              <w:bottom w:val="single" w:color="000000" w:sz="2" w:space="0"/>
            </w:tcBorders>
          </w:tcPr>
          <w:p>
            <w:pPr>
              <w:pStyle w:val="167"/>
              <w:spacing w:before="94"/>
              <w:ind w:left="1040" w:right="1007"/>
              <w:jc w:val="center"/>
              <w:rPr>
                <w:sz w:val="24"/>
              </w:rPr>
            </w:pPr>
            <w:r>
              <w:rPr>
                <w:sz w:val="24"/>
              </w:rPr>
              <w:t>营业收入</w:t>
            </w:r>
          </w:p>
        </w:tc>
        <w:tc>
          <w:tcPr>
            <w:tcW w:w="3076" w:type="dxa"/>
            <w:tcBorders>
              <w:top w:val="single" w:color="000000" w:sz="2" w:space="0"/>
              <w:bottom w:val="single" w:color="000000" w:sz="2" w:space="0"/>
            </w:tcBorders>
          </w:tcPr>
          <w:p>
            <w:pPr>
              <w:pStyle w:val="167"/>
              <w:spacing w:before="94"/>
              <w:ind w:left="1039" w:right="1006"/>
              <w:jc w:val="center"/>
              <w:rPr>
                <w:sz w:val="24"/>
              </w:rPr>
            </w:pPr>
            <w:r>
              <w:rPr>
                <w:sz w:val="24"/>
              </w:rPr>
              <w:t>资金总额</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94" w:hRule="atLeast"/>
          <w:jc w:val="center"/>
        </w:trPr>
        <w:tc>
          <w:tcPr>
            <w:tcW w:w="3075" w:type="dxa"/>
            <w:tcBorders>
              <w:top w:val="single" w:color="000000" w:sz="2" w:space="0"/>
              <w:right w:val="single" w:color="000000" w:sz="2" w:space="0"/>
            </w:tcBorders>
          </w:tcPr>
          <w:p>
            <w:pPr>
              <w:pStyle w:val="167"/>
              <w:rPr>
                <w:rFonts w:ascii="Times New Roman"/>
                <w:sz w:val="22"/>
              </w:rPr>
            </w:pPr>
          </w:p>
        </w:tc>
        <w:tc>
          <w:tcPr>
            <w:tcW w:w="3075" w:type="dxa"/>
            <w:tcBorders>
              <w:top w:val="single" w:color="000000" w:sz="2" w:space="0"/>
              <w:left w:val="single" w:color="000000" w:sz="2" w:space="0"/>
            </w:tcBorders>
          </w:tcPr>
          <w:p>
            <w:pPr>
              <w:pStyle w:val="167"/>
              <w:rPr>
                <w:rFonts w:ascii="Times New Roman"/>
                <w:sz w:val="22"/>
              </w:rPr>
            </w:pPr>
          </w:p>
        </w:tc>
        <w:tc>
          <w:tcPr>
            <w:tcW w:w="3076" w:type="dxa"/>
            <w:tcBorders>
              <w:top w:val="single" w:color="000000" w:sz="2" w:space="0"/>
            </w:tcBorders>
          </w:tcPr>
          <w:p>
            <w:pPr>
              <w:pStyle w:val="167"/>
              <w:rPr>
                <w:rFonts w:ascii="Times New Roman"/>
                <w:sz w:val="22"/>
              </w:rPr>
            </w:pPr>
          </w:p>
        </w:tc>
      </w:tr>
    </w:tbl>
    <w:p>
      <w:pPr>
        <w:pStyle w:val="21"/>
        <w:sectPr>
          <w:pgSz w:w="11910" w:h="16840"/>
          <w:pgMar w:top="1440" w:right="1080" w:bottom="1440" w:left="1080" w:header="1020" w:footer="907" w:gutter="0"/>
          <w:pgBorders>
            <w:top w:val="none" w:sz="0" w:space="0"/>
            <w:left w:val="none" w:sz="0" w:space="0"/>
            <w:bottom w:val="none" w:sz="0" w:space="0"/>
            <w:right w:val="none" w:sz="0" w:space="0"/>
          </w:pgBorders>
          <w:cols w:space="720" w:num="1"/>
        </w:sectPr>
      </w:pPr>
    </w:p>
    <w:p>
      <w:pPr>
        <w:spacing w:line="360" w:lineRule="auto"/>
        <w:jc w:val="left"/>
        <w:rPr>
          <w:rFonts w:hint="eastAsia" w:ascii="宋体" w:hAnsi="宋体" w:eastAsia="宋体" w:cs="Times New Roman"/>
          <w:b/>
          <w:bCs/>
          <w:sz w:val="24"/>
        </w:rPr>
      </w:pPr>
      <w:r>
        <w:rPr>
          <w:rFonts w:hint="eastAsia" w:ascii="宋体" w:hAnsi="宋体" w:eastAsia="宋体" w:cs="Times New Roman"/>
          <w:b/>
          <w:bCs/>
          <w:sz w:val="24"/>
          <w:lang w:val="en-US" w:eastAsia="zh-CN"/>
        </w:rPr>
        <w:t>附件1</w:t>
      </w:r>
      <w:r>
        <w:rPr>
          <w:rFonts w:hint="eastAsia" w:ascii="宋体" w:hAnsi="宋体" w:eastAsia="宋体" w:cs="Times New Roman"/>
          <w:b/>
          <w:bCs/>
          <w:sz w:val="24"/>
        </w:rPr>
        <w:t>：工信部联企业[2011]300号</w:t>
      </w:r>
    </w:p>
    <w:p>
      <w:pPr>
        <w:pStyle w:val="21"/>
      </w:pPr>
    </w:p>
    <w:p>
      <w:pPr>
        <w:spacing w:before="72" w:line="412" w:lineRule="exact"/>
        <w:ind w:firstLine="2335"/>
        <w:rPr>
          <w:rFonts w:ascii="宋体" w:hAnsi="宋体" w:cs="宋体"/>
          <w:szCs w:val="21"/>
        </w:rPr>
      </w:pPr>
      <w:r>
        <w:rPr>
          <w:rFonts w:ascii="宋体" w:hAnsi="宋体" w:cs="宋体"/>
          <w:spacing w:val="-2"/>
          <w:position w:val="14"/>
          <w:szCs w:val="21"/>
        </w:rPr>
        <w:t>工业和信息化部</w:t>
      </w:r>
      <w:r>
        <w:rPr>
          <w:rFonts w:ascii="宋体" w:hAnsi="宋体" w:cs="宋体"/>
          <w:spacing w:val="13"/>
          <w:position w:val="14"/>
          <w:szCs w:val="21"/>
        </w:rPr>
        <w:t xml:space="preserve">  </w:t>
      </w:r>
      <w:r>
        <w:rPr>
          <w:rFonts w:ascii="宋体" w:hAnsi="宋体" w:cs="宋体"/>
          <w:spacing w:val="-2"/>
          <w:position w:val="14"/>
          <w:szCs w:val="21"/>
        </w:rPr>
        <w:t>统计局</w:t>
      </w:r>
      <w:r>
        <w:rPr>
          <w:rFonts w:ascii="宋体" w:hAnsi="宋体" w:cs="宋体"/>
          <w:spacing w:val="5"/>
          <w:position w:val="14"/>
          <w:szCs w:val="21"/>
        </w:rPr>
        <w:t xml:space="preserve">  </w:t>
      </w:r>
      <w:r>
        <w:rPr>
          <w:rFonts w:ascii="宋体" w:hAnsi="宋体" w:cs="宋体"/>
          <w:spacing w:val="-2"/>
          <w:position w:val="14"/>
          <w:szCs w:val="21"/>
        </w:rPr>
        <w:t>发展改革委</w:t>
      </w:r>
      <w:r>
        <w:rPr>
          <w:rFonts w:ascii="宋体" w:hAnsi="宋体" w:cs="宋体"/>
          <w:spacing w:val="4"/>
          <w:position w:val="14"/>
          <w:szCs w:val="21"/>
        </w:rPr>
        <w:t xml:space="preserve">  </w:t>
      </w:r>
      <w:r>
        <w:rPr>
          <w:rFonts w:ascii="宋体" w:hAnsi="宋体" w:cs="宋体"/>
          <w:spacing w:val="-2"/>
          <w:position w:val="14"/>
          <w:szCs w:val="21"/>
        </w:rPr>
        <w:t>财政部</w:t>
      </w:r>
    </w:p>
    <w:p>
      <w:pPr>
        <w:spacing w:line="204" w:lineRule="auto"/>
        <w:ind w:firstLine="2756"/>
        <w:rPr>
          <w:rFonts w:ascii="宋体" w:hAnsi="宋体" w:cs="宋体"/>
          <w:szCs w:val="21"/>
        </w:rPr>
      </w:pPr>
      <w:r>
        <w:rPr>
          <w:rFonts w:ascii="宋体" w:hAnsi="宋体" w:cs="宋体"/>
          <w:szCs w:val="21"/>
        </w:rPr>
        <w:t>关于印发中小企业划型标准规定的通知</w:t>
      </w:r>
    </w:p>
    <w:p>
      <w:pPr>
        <w:pStyle w:val="21"/>
        <w:jc w:val="right"/>
        <w:rPr>
          <w:rFonts w:hAnsi="宋体" w:cs="宋体"/>
          <w:spacing w:val="-6"/>
        </w:rPr>
      </w:pPr>
      <w:r>
        <w:rPr>
          <w:rFonts w:hAnsi="宋体" w:cs="宋体"/>
          <w:spacing w:val="-10"/>
          <w:w w:val="99"/>
        </w:rPr>
        <w:t>工信部联企业〔2011〕</w:t>
      </w:r>
      <w:r>
        <w:rPr>
          <w:rFonts w:hAnsi="宋体" w:cs="宋体"/>
          <w:spacing w:val="58"/>
        </w:rPr>
        <w:t xml:space="preserve"> </w:t>
      </w:r>
      <w:r>
        <w:rPr>
          <w:rFonts w:hAnsi="宋体" w:cs="宋体"/>
          <w:spacing w:val="-10"/>
          <w:w w:val="99"/>
        </w:rPr>
        <w:t>300</w:t>
      </w:r>
      <w:r>
        <w:rPr>
          <w:rFonts w:hAnsi="宋体" w:cs="宋体"/>
          <w:spacing w:val="-37"/>
        </w:rPr>
        <w:t xml:space="preserve"> </w:t>
      </w:r>
      <w:r>
        <w:rPr>
          <w:rFonts w:hAnsi="宋体" w:cs="宋体"/>
          <w:spacing w:val="-10"/>
          <w:w w:val="99"/>
        </w:rPr>
        <w:t>号</w:t>
      </w:r>
    </w:p>
    <w:p>
      <w:pPr>
        <w:spacing w:before="174" w:line="359" w:lineRule="auto"/>
        <w:ind w:right="73"/>
      </w:pPr>
      <w:r>
        <w:rPr>
          <w:rFonts w:ascii="宋体" w:hAnsi="宋体" w:cs="宋体"/>
          <w:spacing w:val="-6"/>
          <w:szCs w:val="21"/>
        </w:rPr>
        <w:t>各省、自治区、直辖市人民政府，国务院各部委、各直属机构及有关单位：</w:t>
      </w:r>
    </w:p>
    <w:p>
      <w:pPr>
        <w:spacing w:before="1" w:line="301" w:lineRule="auto"/>
        <w:ind w:left="35" w:right="72" w:firstLine="427"/>
        <w:rPr>
          <w:rFonts w:ascii="宋体" w:hAnsi="宋体" w:cs="宋体"/>
          <w:szCs w:val="21"/>
        </w:rPr>
      </w:pPr>
      <w:r>
        <w:rPr>
          <w:rFonts w:ascii="宋体" w:hAnsi="宋体" w:cs="宋体"/>
          <w:spacing w:val="-1"/>
          <w:szCs w:val="21"/>
        </w:rPr>
        <w:t>为贯彻落实《中华人民共和国中小企业促进法》和《国务院关于进一步促进中小企业发展的若</w:t>
      </w:r>
      <w:r>
        <w:rPr>
          <w:rFonts w:ascii="宋体" w:hAnsi="宋体" w:cs="宋体"/>
          <w:spacing w:val="-7"/>
          <w:szCs w:val="21"/>
        </w:rPr>
        <w:t>干意见》（国发〔</w:t>
      </w:r>
      <w:r>
        <w:rPr>
          <w:rFonts w:ascii="宋体" w:hAnsi="宋体" w:cs="宋体"/>
          <w:spacing w:val="-59"/>
          <w:szCs w:val="21"/>
        </w:rPr>
        <w:t xml:space="preserve"> </w:t>
      </w:r>
      <w:r>
        <w:rPr>
          <w:rFonts w:ascii="宋体" w:hAnsi="宋体" w:cs="宋体"/>
          <w:spacing w:val="-7"/>
          <w:szCs w:val="21"/>
        </w:rPr>
        <w:t>2009〕36</w:t>
      </w:r>
      <w:r>
        <w:rPr>
          <w:rFonts w:ascii="宋体" w:hAnsi="宋体" w:cs="宋体"/>
          <w:spacing w:val="-41"/>
          <w:szCs w:val="21"/>
        </w:rPr>
        <w:t xml:space="preserve"> </w:t>
      </w:r>
      <w:r>
        <w:rPr>
          <w:rFonts w:ascii="宋体" w:hAnsi="宋体" w:cs="宋体"/>
          <w:spacing w:val="-7"/>
          <w:szCs w:val="21"/>
        </w:rPr>
        <w:t>号</w:t>
      </w:r>
      <w:r>
        <w:rPr>
          <w:rFonts w:ascii="宋体" w:hAnsi="宋体" w:cs="宋体"/>
          <w:spacing w:val="-39"/>
          <w:szCs w:val="21"/>
        </w:rPr>
        <w:t>）</w:t>
      </w:r>
      <w:r>
        <w:rPr>
          <w:rFonts w:ascii="宋体" w:hAnsi="宋体" w:cs="宋体"/>
          <w:spacing w:val="19"/>
          <w:szCs w:val="21"/>
        </w:rPr>
        <w:t xml:space="preserve"> </w:t>
      </w:r>
      <w:r>
        <w:rPr>
          <w:rFonts w:ascii="宋体" w:hAnsi="宋体" w:cs="宋体"/>
          <w:spacing w:val="-39"/>
          <w:szCs w:val="21"/>
        </w:rPr>
        <w:t>，</w:t>
      </w:r>
      <w:r>
        <w:rPr>
          <w:rFonts w:ascii="宋体" w:hAnsi="宋体" w:cs="宋体"/>
          <w:spacing w:val="-7"/>
          <w:szCs w:val="21"/>
        </w:rPr>
        <w:t>工业和信息化部、国家统计局、发展改革委、财政部研究制定了</w:t>
      </w:r>
      <w:r>
        <w:rPr>
          <w:rFonts w:ascii="宋体" w:hAnsi="宋体" w:cs="宋体"/>
          <w:szCs w:val="21"/>
        </w:rPr>
        <w:t xml:space="preserve"> 《中小企业划型标准规定》。经国务院同意，现印发给你们，请遵照执行。</w:t>
      </w:r>
    </w:p>
    <w:p>
      <w:pPr>
        <w:spacing w:before="198" w:line="316" w:lineRule="auto"/>
        <w:ind w:left="7587" w:right="73" w:hanging="2"/>
        <w:rPr>
          <w:rFonts w:ascii="宋体" w:hAnsi="宋体" w:cs="宋体"/>
          <w:szCs w:val="21"/>
        </w:rPr>
      </w:pPr>
      <w:r>
        <w:rPr>
          <w:rFonts w:ascii="宋体" w:hAnsi="宋体" w:cs="宋体"/>
          <w:spacing w:val="-1"/>
          <w:szCs w:val="21"/>
        </w:rPr>
        <w:t>工业和信息化部</w:t>
      </w:r>
      <w:r>
        <w:rPr>
          <w:rFonts w:ascii="宋体" w:hAnsi="宋体" w:cs="宋体"/>
          <w:spacing w:val="2"/>
          <w:szCs w:val="21"/>
        </w:rPr>
        <w:t xml:space="preserve"> </w:t>
      </w:r>
      <w:r>
        <w:rPr>
          <w:rFonts w:ascii="宋体" w:hAnsi="宋体" w:cs="宋体"/>
          <w:spacing w:val="-8"/>
          <w:szCs w:val="21"/>
        </w:rPr>
        <w:t>统</w:t>
      </w:r>
      <w:r>
        <w:rPr>
          <w:rFonts w:ascii="宋体" w:hAnsi="宋体" w:cs="宋体"/>
          <w:spacing w:val="1"/>
          <w:szCs w:val="21"/>
        </w:rPr>
        <w:t xml:space="preserve">    </w:t>
      </w:r>
      <w:r>
        <w:rPr>
          <w:rFonts w:ascii="宋体" w:hAnsi="宋体" w:cs="宋体"/>
          <w:spacing w:val="-8"/>
          <w:szCs w:val="21"/>
        </w:rPr>
        <w:t>计</w:t>
      </w:r>
      <w:r>
        <w:rPr>
          <w:rFonts w:ascii="宋体" w:hAnsi="宋体" w:cs="宋体"/>
          <w:spacing w:val="3"/>
          <w:szCs w:val="21"/>
        </w:rPr>
        <w:t xml:space="preserve">    </w:t>
      </w:r>
      <w:r>
        <w:rPr>
          <w:rFonts w:ascii="宋体" w:hAnsi="宋体" w:cs="宋体"/>
          <w:spacing w:val="-8"/>
          <w:szCs w:val="21"/>
        </w:rPr>
        <w:t>局</w:t>
      </w:r>
      <w:r>
        <w:rPr>
          <w:rFonts w:ascii="宋体" w:hAnsi="宋体" w:cs="宋体"/>
          <w:spacing w:val="1"/>
          <w:szCs w:val="21"/>
        </w:rPr>
        <w:t xml:space="preserve"> </w:t>
      </w:r>
      <w:r>
        <w:rPr>
          <w:rFonts w:ascii="宋体" w:hAnsi="宋体" w:cs="宋体"/>
          <w:spacing w:val="-9"/>
          <w:szCs w:val="21"/>
        </w:rPr>
        <w:t>发</w:t>
      </w:r>
      <w:r>
        <w:rPr>
          <w:rFonts w:ascii="宋体" w:hAnsi="宋体" w:cs="宋体"/>
          <w:spacing w:val="12"/>
          <w:szCs w:val="21"/>
        </w:rPr>
        <w:t xml:space="preserve"> </w:t>
      </w:r>
      <w:r>
        <w:rPr>
          <w:rFonts w:ascii="宋体" w:hAnsi="宋体" w:cs="宋体"/>
          <w:spacing w:val="-9"/>
          <w:szCs w:val="21"/>
        </w:rPr>
        <w:t>展</w:t>
      </w:r>
      <w:r>
        <w:rPr>
          <w:rFonts w:ascii="宋体" w:hAnsi="宋体" w:cs="宋体"/>
          <w:spacing w:val="11"/>
          <w:szCs w:val="21"/>
        </w:rPr>
        <w:t xml:space="preserve"> </w:t>
      </w:r>
      <w:r>
        <w:rPr>
          <w:rFonts w:ascii="宋体" w:hAnsi="宋体" w:cs="宋体"/>
          <w:spacing w:val="-9"/>
          <w:szCs w:val="21"/>
        </w:rPr>
        <w:t>改</w:t>
      </w:r>
      <w:r>
        <w:rPr>
          <w:rFonts w:ascii="宋体" w:hAnsi="宋体" w:cs="宋体"/>
          <w:spacing w:val="8"/>
          <w:szCs w:val="21"/>
        </w:rPr>
        <w:t xml:space="preserve"> </w:t>
      </w:r>
      <w:r>
        <w:rPr>
          <w:rFonts w:ascii="宋体" w:hAnsi="宋体" w:cs="宋体"/>
          <w:spacing w:val="-9"/>
          <w:szCs w:val="21"/>
        </w:rPr>
        <w:t>革</w:t>
      </w:r>
      <w:r>
        <w:rPr>
          <w:rFonts w:ascii="宋体" w:hAnsi="宋体" w:cs="宋体"/>
          <w:spacing w:val="7"/>
          <w:szCs w:val="21"/>
        </w:rPr>
        <w:t xml:space="preserve"> </w:t>
      </w:r>
      <w:r>
        <w:rPr>
          <w:rFonts w:ascii="宋体" w:hAnsi="宋体" w:cs="宋体"/>
          <w:spacing w:val="-9"/>
          <w:szCs w:val="21"/>
        </w:rPr>
        <w:t>委</w:t>
      </w:r>
      <w:r>
        <w:rPr>
          <w:rFonts w:ascii="宋体" w:hAnsi="宋体" w:cs="宋体"/>
          <w:szCs w:val="21"/>
        </w:rPr>
        <w:t xml:space="preserve"> </w:t>
      </w:r>
      <w:r>
        <w:rPr>
          <w:rFonts w:ascii="宋体" w:hAnsi="宋体" w:cs="宋体"/>
          <w:spacing w:val="-8"/>
          <w:szCs w:val="21"/>
        </w:rPr>
        <w:t>财</w:t>
      </w:r>
      <w:r>
        <w:rPr>
          <w:rFonts w:ascii="宋体" w:hAnsi="宋体" w:cs="宋体"/>
          <w:spacing w:val="1"/>
          <w:szCs w:val="21"/>
        </w:rPr>
        <w:t xml:space="preserve">    </w:t>
      </w:r>
      <w:r>
        <w:rPr>
          <w:rFonts w:ascii="宋体" w:hAnsi="宋体" w:cs="宋体"/>
          <w:spacing w:val="-8"/>
          <w:szCs w:val="21"/>
        </w:rPr>
        <w:t>政</w:t>
      </w:r>
      <w:r>
        <w:rPr>
          <w:rFonts w:ascii="宋体" w:hAnsi="宋体" w:cs="宋体"/>
          <w:spacing w:val="3"/>
          <w:szCs w:val="21"/>
        </w:rPr>
        <w:t xml:space="preserve">    </w:t>
      </w:r>
      <w:r>
        <w:rPr>
          <w:rFonts w:ascii="宋体" w:hAnsi="宋体" w:cs="宋体"/>
          <w:spacing w:val="-8"/>
          <w:szCs w:val="21"/>
        </w:rPr>
        <w:t>部</w:t>
      </w:r>
    </w:p>
    <w:p>
      <w:pPr>
        <w:spacing w:before="197" w:line="186" w:lineRule="auto"/>
        <w:ind w:firstLine="7510" w:firstLineChars="3611"/>
        <w:rPr>
          <w:rFonts w:ascii="宋体" w:hAnsi="宋体" w:cs="宋体"/>
          <w:szCs w:val="21"/>
        </w:rPr>
      </w:pPr>
      <w:r>
        <w:rPr>
          <w:rFonts w:ascii="宋体" w:hAnsi="宋体" w:cs="宋体"/>
          <w:spacing w:val="-1"/>
          <w:szCs w:val="21"/>
        </w:rPr>
        <w:t>二○一一年六月十八日</w:t>
      </w:r>
    </w:p>
    <w:p>
      <w:pPr>
        <w:spacing w:line="266" w:lineRule="auto"/>
      </w:pPr>
    </w:p>
    <w:p>
      <w:pPr>
        <w:spacing w:line="266" w:lineRule="auto"/>
      </w:pPr>
    </w:p>
    <w:p>
      <w:pPr>
        <w:spacing w:before="69" w:line="186" w:lineRule="auto"/>
        <w:ind w:firstLine="3513"/>
        <w:rPr>
          <w:rFonts w:ascii="宋体" w:hAnsi="宋体" w:cs="宋体"/>
          <w:szCs w:val="21"/>
        </w:rPr>
      </w:pPr>
      <w:r>
        <w:rPr>
          <w:rFonts w:ascii="宋体" w:hAnsi="宋体" w:cs="宋体"/>
          <w:spacing w:val="-3"/>
          <w:szCs w:val="21"/>
        </w:rPr>
        <w:t>中小企业划型标准规定</w:t>
      </w:r>
    </w:p>
    <w:p>
      <w:pPr>
        <w:spacing w:before="195" w:line="359" w:lineRule="auto"/>
        <w:ind w:left="41" w:right="72" w:firstLine="421"/>
        <w:rPr>
          <w:rFonts w:ascii="宋体" w:hAnsi="宋体" w:cs="宋体"/>
          <w:szCs w:val="21"/>
        </w:rPr>
      </w:pPr>
      <w:r>
        <w:rPr>
          <w:rFonts w:ascii="宋体" w:hAnsi="宋体" w:cs="宋体"/>
          <w:spacing w:val="-1"/>
          <w:szCs w:val="21"/>
        </w:rPr>
        <w:t>一、根据《中华人民共和国中小企业促进法》和《国务院关于进一步促进中小企业发展的若干</w:t>
      </w:r>
      <w:r>
        <w:rPr>
          <w:rFonts w:ascii="宋体" w:hAnsi="宋体" w:cs="宋体"/>
          <w:spacing w:val="18"/>
          <w:szCs w:val="21"/>
        </w:rPr>
        <w:t xml:space="preserve"> </w:t>
      </w:r>
      <w:r>
        <w:rPr>
          <w:rFonts w:ascii="宋体" w:hAnsi="宋体" w:cs="宋体"/>
          <w:spacing w:val="-10"/>
          <w:szCs w:val="21"/>
        </w:rPr>
        <w:t>意见》（国发〔2009〕</w:t>
      </w:r>
      <w:r>
        <w:rPr>
          <w:rFonts w:ascii="宋体" w:hAnsi="宋体" w:cs="宋体"/>
          <w:spacing w:val="31"/>
          <w:szCs w:val="21"/>
        </w:rPr>
        <w:t xml:space="preserve"> </w:t>
      </w:r>
      <w:r>
        <w:rPr>
          <w:rFonts w:ascii="宋体" w:hAnsi="宋体" w:cs="宋体"/>
          <w:spacing w:val="-10"/>
          <w:szCs w:val="21"/>
        </w:rPr>
        <w:t>36</w:t>
      </w:r>
      <w:r>
        <w:rPr>
          <w:rFonts w:ascii="宋体" w:hAnsi="宋体" w:cs="宋体"/>
          <w:spacing w:val="-41"/>
          <w:szCs w:val="21"/>
        </w:rPr>
        <w:t xml:space="preserve"> </w:t>
      </w:r>
      <w:r>
        <w:rPr>
          <w:rFonts w:ascii="宋体" w:hAnsi="宋体" w:cs="宋体"/>
          <w:spacing w:val="-10"/>
          <w:szCs w:val="21"/>
        </w:rPr>
        <w:t>号</w:t>
      </w:r>
      <w:r>
        <w:rPr>
          <w:rFonts w:ascii="宋体" w:hAnsi="宋体" w:cs="宋体"/>
          <w:spacing w:val="-37"/>
          <w:szCs w:val="21"/>
        </w:rPr>
        <w:t>）</w:t>
      </w:r>
      <w:r>
        <w:rPr>
          <w:rFonts w:ascii="宋体" w:hAnsi="宋体" w:cs="宋体"/>
          <w:spacing w:val="23"/>
          <w:szCs w:val="21"/>
        </w:rPr>
        <w:t xml:space="preserve"> </w:t>
      </w:r>
      <w:r>
        <w:rPr>
          <w:rFonts w:ascii="宋体" w:hAnsi="宋体" w:cs="宋体"/>
          <w:spacing w:val="-37"/>
          <w:szCs w:val="21"/>
        </w:rPr>
        <w:t>，</w:t>
      </w:r>
      <w:r>
        <w:rPr>
          <w:rFonts w:ascii="宋体" w:hAnsi="宋体" w:cs="宋体"/>
          <w:spacing w:val="-10"/>
          <w:szCs w:val="21"/>
        </w:rPr>
        <w:t>制定本规定。</w:t>
      </w:r>
    </w:p>
    <w:p>
      <w:pPr>
        <w:spacing w:before="3" w:line="273" w:lineRule="auto"/>
        <w:ind w:left="36" w:right="76" w:firstLine="427"/>
        <w:rPr>
          <w:rFonts w:ascii="宋体" w:hAnsi="宋体" w:cs="宋体"/>
          <w:szCs w:val="21"/>
        </w:rPr>
      </w:pPr>
      <w:r>
        <w:rPr>
          <w:rFonts w:ascii="宋体" w:hAnsi="宋体" w:cs="宋体"/>
          <w:spacing w:val="-5"/>
          <w:szCs w:val="21"/>
        </w:rPr>
        <w:t>二、中小企业划分为中型、小型、微型三种类型，具体标准根据企业从业人员、营业收入、资</w:t>
      </w:r>
      <w:r>
        <w:rPr>
          <w:rFonts w:ascii="宋体" w:hAnsi="宋体" w:cs="宋体"/>
          <w:spacing w:val="-11"/>
          <w:szCs w:val="21"/>
        </w:rPr>
        <w:t>产总额等指标，结合行业特点制定。</w:t>
      </w:r>
    </w:p>
    <w:p>
      <w:pPr>
        <w:spacing w:before="198" w:line="324" w:lineRule="auto"/>
        <w:ind w:left="37" w:firstLine="423"/>
        <w:rPr>
          <w:rFonts w:ascii="宋体" w:hAnsi="宋体" w:cs="宋体"/>
          <w:szCs w:val="21"/>
        </w:rPr>
      </w:pPr>
      <w:r>
        <w:rPr>
          <w:rFonts w:ascii="宋体" w:hAnsi="宋体" w:cs="宋体"/>
          <w:spacing w:val="-9"/>
          <w:szCs w:val="21"/>
        </w:rPr>
        <w:t>三、本规定适用的行业包括：农、林、牧、渔业，工业（包括采矿业，制造业，电力、热力、燃气及水生产和供应业</w:t>
      </w:r>
      <w:r>
        <w:rPr>
          <w:rFonts w:ascii="宋体" w:hAnsi="宋体" w:cs="宋体"/>
          <w:spacing w:val="-29"/>
          <w:szCs w:val="21"/>
        </w:rPr>
        <w:t>），</w:t>
      </w:r>
      <w:r>
        <w:rPr>
          <w:rFonts w:ascii="宋体" w:hAnsi="宋体" w:cs="宋体"/>
          <w:spacing w:val="-9"/>
          <w:szCs w:val="21"/>
        </w:rPr>
        <w:t>建筑业，批发业，零售业，交通运输业（不含铁路运输业</w:t>
      </w:r>
      <w:r>
        <w:rPr>
          <w:rFonts w:ascii="宋体" w:hAnsi="宋体" w:cs="宋体"/>
          <w:spacing w:val="-29"/>
          <w:szCs w:val="21"/>
        </w:rPr>
        <w:t>），</w:t>
      </w:r>
      <w:r>
        <w:rPr>
          <w:rFonts w:ascii="宋体" w:hAnsi="宋体" w:cs="宋体"/>
          <w:spacing w:val="-9"/>
          <w:szCs w:val="21"/>
        </w:rPr>
        <w:t>仓储业，</w:t>
      </w:r>
      <w:r>
        <w:rPr>
          <w:rFonts w:ascii="宋体" w:hAnsi="宋体" w:cs="宋体"/>
          <w:spacing w:val="-14"/>
          <w:szCs w:val="21"/>
        </w:rPr>
        <w:t>邮政业，住宿业，餐饮业，信息传输业（包括电信、互联网和相关服务</w:t>
      </w:r>
      <w:r>
        <w:rPr>
          <w:rFonts w:ascii="宋体" w:hAnsi="宋体" w:cs="宋体"/>
          <w:spacing w:val="-60"/>
          <w:szCs w:val="21"/>
        </w:rPr>
        <w:t>）</w:t>
      </w:r>
      <w:r>
        <w:rPr>
          <w:rFonts w:ascii="宋体" w:hAnsi="宋体" w:cs="宋体"/>
          <w:spacing w:val="14"/>
          <w:szCs w:val="21"/>
        </w:rPr>
        <w:t xml:space="preserve"> </w:t>
      </w:r>
      <w:r>
        <w:rPr>
          <w:rFonts w:ascii="宋体" w:hAnsi="宋体" w:cs="宋体"/>
          <w:spacing w:val="-60"/>
          <w:szCs w:val="21"/>
        </w:rPr>
        <w:t>，</w:t>
      </w:r>
      <w:r>
        <w:rPr>
          <w:rFonts w:ascii="宋体" w:hAnsi="宋体" w:cs="宋体"/>
          <w:spacing w:val="-14"/>
          <w:szCs w:val="21"/>
        </w:rPr>
        <w:t>软件和信息技术服务业，</w:t>
      </w:r>
      <w:r>
        <w:rPr>
          <w:rFonts w:ascii="宋体" w:hAnsi="宋体" w:cs="宋体"/>
          <w:szCs w:val="21"/>
        </w:rPr>
        <w:t xml:space="preserve"> </w:t>
      </w:r>
      <w:r>
        <w:rPr>
          <w:rFonts w:ascii="宋体" w:hAnsi="宋体" w:cs="宋体"/>
          <w:spacing w:val="-9"/>
          <w:szCs w:val="21"/>
        </w:rPr>
        <w:t>房地产开发经营，物业管理，租赁和商务服务业，其他未列明行业（包括科学研究和技术服务业，</w:t>
      </w:r>
      <w:r>
        <w:rPr>
          <w:rFonts w:ascii="宋体" w:hAnsi="宋体" w:cs="宋体"/>
          <w:spacing w:val="-17"/>
          <w:szCs w:val="21"/>
        </w:rPr>
        <w:t>水利、环境和公共设施管理业，居民服务、修理和其他服务业，社会工作，文化、体育和娱乐业等）</w:t>
      </w:r>
      <w:r>
        <w:rPr>
          <w:rFonts w:ascii="宋体" w:hAnsi="宋体" w:cs="宋体"/>
          <w:spacing w:val="-40"/>
          <w:szCs w:val="21"/>
        </w:rPr>
        <w:t xml:space="preserve"> </w:t>
      </w:r>
      <w:r>
        <w:rPr>
          <w:rFonts w:ascii="宋体" w:hAnsi="宋体" w:cs="宋体"/>
          <w:spacing w:val="-17"/>
          <w:szCs w:val="21"/>
        </w:rPr>
        <w:t>。</w:t>
      </w:r>
    </w:p>
    <w:p>
      <w:pPr>
        <w:spacing w:before="197" w:line="186" w:lineRule="auto"/>
        <w:ind w:firstLine="480"/>
        <w:rPr>
          <w:rFonts w:ascii="宋体" w:hAnsi="宋体" w:cs="宋体"/>
          <w:szCs w:val="21"/>
        </w:rPr>
      </w:pPr>
      <w:r>
        <w:rPr>
          <w:rFonts w:ascii="宋体" w:hAnsi="宋体" w:cs="宋体"/>
          <w:spacing w:val="-5"/>
          <w:szCs w:val="21"/>
        </w:rPr>
        <w:t>四、各行业划型标准为：</w:t>
      </w:r>
    </w:p>
    <w:p>
      <w:pPr>
        <w:spacing w:before="199" w:line="359" w:lineRule="auto"/>
        <w:ind w:left="39" w:right="73" w:firstLine="427"/>
        <w:rPr>
          <w:rFonts w:ascii="宋体" w:hAnsi="宋体" w:cs="宋体"/>
          <w:szCs w:val="21"/>
        </w:rPr>
      </w:pPr>
      <w:r>
        <w:rPr>
          <w:rFonts w:ascii="宋体" w:hAnsi="宋体" w:cs="宋体"/>
          <w:spacing w:val="-7"/>
          <w:szCs w:val="21"/>
        </w:rPr>
        <w:t>（一）</w:t>
      </w:r>
      <w:r>
        <w:rPr>
          <w:rFonts w:ascii="宋体" w:hAnsi="宋体" w:cs="宋体"/>
          <w:spacing w:val="-1"/>
          <w:szCs w:val="21"/>
        </w:rPr>
        <w:t xml:space="preserve"> </w:t>
      </w:r>
      <w:r>
        <w:rPr>
          <w:rFonts w:ascii="宋体" w:hAnsi="宋体" w:cs="宋体"/>
          <w:spacing w:val="-7"/>
          <w:szCs w:val="21"/>
        </w:rPr>
        <w:t>农、林、牧、渔业。营业收入</w:t>
      </w:r>
      <w:r>
        <w:rPr>
          <w:rFonts w:ascii="宋体" w:hAnsi="宋体" w:cs="宋体"/>
          <w:spacing w:val="-45"/>
          <w:szCs w:val="21"/>
        </w:rPr>
        <w:t xml:space="preserve"> </w:t>
      </w:r>
      <w:r>
        <w:rPr>
          <w:rFonts w:ascii="宋体" w:hAnsi="宋体" w:cs="宋体"/>
          <w:spacing w:val="-7"/>
          <w:szCs w:val="21"/>
        </w:rPr>
        <w:t>20000</w:t>
      </w:r>
      <w:r>
        <w:rPr>
          <w:rFonts w:ascii="宋体" w:hAnsi="宋体" w:cs="宋体"/>
          <w:spacing w:val="-41"/>
          <w:szCs w:val="21"/>
        </w:rPr>
        <w:t xml:space="preserve"> </w:t>
      </w:r>
      <w:r>
        <w:rPr>
          <w:rFonts w:ascii="宋体" w:hAnsi="宋体" w:cs="宋体"/>
          <w:spacing w:val="-7"/>
          <w:szCs w:val="21"/>
        </w:rPr>
        <w:t>万元以下的为中小微型企业。其中，</w:t>
      </w:r>
      <w:r>
        <w:rPr>
          <w:rFonts w:ascii="宋体" w:hAnsi="宋体" w:cs="宋体"/>
          <w:spacing w:val="54"/>
          <w:szCs w:val="21"/>
        </w:rPr>
        <w:t xml:space="preserve"> </w:t>
      </w:r>
      <w:r>
        <w:rPr>
          <w:rFonts w:ascii="宋体" w:hAnsi="宋体" w:cs="宋体"/>
          <w:spacing w:val="-7"/>
          <w:szCs w:val="21"/>
        </w:rPr>
        <w:t>营业收入</w:t>
      </w:r>
      <w:r>
        <w:rPr>
          <w:rFonts w:ascii="宋体" w:hAnsi="宋体" w:cs="宋体"/>
          <w:spacing w:val="-43"/>
          <w:szCs w:val="21"/>
        </w:rPr>
        <w:t xml:space="preserve"> </w:t>
      </w:r>
      <w:r>
        <w:rPr>
          <w:rFonts w:ascii="宋体" w:hAnsi="宋体" w:cs="宋体"/>
          <w:spacing w:val="-7"/>
          <w:szCs w:val="21"/>
        </w:rPr>
        <w:t>500</w:t>
      </w:r>
      <w:r>
        <w:rPr>
          <w:rFonts w:ascii="宋体" w:hAnsi="宋体" w:cs="宋体"/>
          <w:szCs w:val="21"/>
        </w:rPr>
        <w:t xml:space="preserve"> </w:t>
      </w:r>
      <w:r>
        <w:rPr>
          <w:rFonts w:ascii="宋体" w:hAnsi="宋体" w:cs="宋体"/>
          <w:spacing w:val="-9"/>
          <w:szCs w:val="21"/>
        </w:rPr>
        <w:t>万元及以上的为中型企业，营业收入</w:t>
      </w:r>
      <w:r>
        <w:rPr>
          <w:rFonts w:ascii="宋体" w:hAnsi="宋体" w:cs="宋体"/>
          <w:spacing w:val="-39"/>
          <w:szCs w:val="21"/>
        </w:rPr>
        <w:t xml:space="preserve"> </w:t>
      </w:r>
      <w:r>
        <w:rPr>
          <w:rFonts w:ascii="宋体" w:hAnsi="宋体" w:cs="宋体"/>
          <w:spacing w:val="-9"/>
          <w:szCs w:val="21"/>
        </w:rPr>
        <w:t>50</w:t>
      </w:r>
      <w:r>
        <w:rPr>
          <w:rFonts w:ascii="宋体" w:hAnsi="宋体" w:cs="宋体"/>
          <w:spacing w:val="-42"/>
          <w:szCs w:val="21"/>
        </w:rPr>
        <w:t xml:space="preserve"> </w:t>
      </w:r>
      <w:r>
        <w:rPr>
          <w:rFonts w:ascii="宋体" w:hAnsi="宋体" w:cs="宋体"/>
          <w:spacing w:val="-9"/>
          <w:szCs w:val="21"/>
        </w:rPr>
        <w:t>万元及以上的为小型企业，营业收入</w:t>
      </w:r>
      <w:r>
        <w:rPr>
          <w:rFonts w:ascii="宋体" w:hAnsi="宋体" w:cs="宋体"/>
          <w:spacing w:val="-40"/>
          <w:szCs w:val="21"/>
        </w:rPr>
        <w:t xml:space="preserve"> </w:t>
      </w:r>
      <w:r>
        <w:rPr>
          <w:rFonts w:ascii="宋体" w:hAnsi="宋体" w:cs="宋体"/>
          <w:spacing w:val="-9"/>
          <w:szCs w:val="21"/>
        </w:rPr>
        <w:t>50</w:t>
      </w:r>
      <w:r>
        <w:rPr>
          <w:rFonts w:ascii="宋体" w:hAnsi="宋体" w:cs="宋体"/>
          <w:spacing w:val="-37"/>
          <w:szCs w:val="21"/>
        </w:rPr>
        <w:t xml:space="preserve"> </w:t>
      </w:r>
      <w:r>
        <w:rPr>
          <w:rFonts w:ascii="宋体" w:hAnsi="宋体" w:cs="宋体"/>
          <w:spacing w:val="-9"/>
          <w:szCs w:val="21"/>
        </w:rPr>
        <w:t>万元以下的为微型</w:t>
      </w:r>
      <w:r>
        <w:rPr>
          <w:rFonts w:ascii="宋体" w:hAnsi="宋体" w:cs="宋体"/>
          <w:szCs w:val="21"/>
        </w:rPr>
        <w:t xml:space="preserve"> </w:t>
      </w:r>
      <w:r>
        <w:rPr>
          <w:rFonts w:ascii="宋体" w:hAnsi="宋体" w:cs="宋体"/>
          <w:spacing w:val="-9"/>
          <w:szCs w:val="21"/>
        </w:rPr>
        <w:t>企业。</w:t>
      </w:r>
    </w:p>
    <w:p>
      <w:pPr>
        <w:spacing w:before="199" w:line="359" w:lineRule="auto"/>
        <w:ind w:left="39" w:right="73" w:firstLine="427"/>
        <w:rPr>
          <w:rFonts w:ascii="宋体" w:hAnsi="宋体" w:cs="宋体"/>
          <w:spacing w:val="-7"/>
          <w:szCs w:val="21"/>
        </w:rPr>
      </w:pPr>
      <w:r>
        <w:rPr>
          <w:rFonts w:ascii="宋体" w:hAnsi="宋体" w:cs="宋体"/>
          <w:spacing w:val="-7"/>
          <w:szCs w:val="21"/>
        </w:rPr>
        <w:t>（二） 工业。从业人员 1000 人以下或营业收入 40000 万元以下的为中小微型企业。其中，从业人员 300 人及以上，且营业收入 2000 万元及以上的为中型企业；从业人员 20 人及以上，且营业 收入 300 万元及以上的为小型企业；从业人员 20 人以下或营业收入 300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（三） 建筑业。营业收入 80000 万元以下或资产总额 80000 万元以下的为中小微型企业。其中， 营业收入 6000 万元及以上， 且资产总额 5000 万元及以上的为中型企业； 营业收入 300 万元及以上， 且资产总额 300 万元及以上的为小型企业； 营业收入 300 万元以下或资产总额 300 万元以下的为微 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（四） 批发业。从业人员 200 人以下或营业收入 40000 万元以下的为中小微型企业。其中， 从业人员 20 人及以上， 且营业收入 5000 万元及以上的为中型企业； 从业人员 5 人及以上， 且营业收 入 1000 万元及以上的为小型企业； 从业人员 5 人以下或营业收入 1000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（五） 零售业。从业人员 300 人以下或营业收入 20000 万元以下的为中小微型企业。其中， 从 业人员 50 人及以上， 且营业收入 500 万元及以上的为中型企业； 从业人员 10 人及以上， 且营业收 入 100 万元及以上的为小型企业； 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（六） 交通运输业。从业人员 1000 人以下或营业收入 30000 万元以下的为中小微型企业。其 中，从业人员 300 人及以上， 且营业收入 3000 万元及以上的为中型企业； 从业人员 20 人及以上， 且营业收入 200 万元及以上的为小型企业； 从业人员 20 人以下或营业收入 200 万元以下的为微型 企业。</w:t>
      </w:r>
    </w:p>
    <w:p>
      <w:pPr>
        <w:spacing w:before="199" w:line="359" w:lineRule="auto"/>
        <w:ind w:left="39" w:right="73" w:firstLine="427"/>
        <w:rPr>
          <w:rFonts w:ascii="宋体" w:hAnsi="宋体" w:cs="宋体"/>
          <w:spacing w:val="-7"/>
          <w:szCs w:val="21"/>
        </w:rPr>
      </w:pPr>
      <w:r>
        <w:rPr>
          <w:rFonts w:ascii="宋体" w:hAnsi="宋体" w:cs="宋体"/>
          <w:spacing w:val="-7"/>
          <w:szCs w:val="21"/>
        </w:rPr>
        <w:t>（七） 仓储业。从业人员 200 人以下或营业收入 30000 万元以下的为中小微型企业。其中， 从 业人员 100 人及以上， 且营业收入 1000 万元及以上的为中型企业； 从业人员 20 人及以上， 且营业 收入 100 万元及以上的为小型企业；从业人员 20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（八） 邮政业。从业人员 1000 人以下或营业收入 30000 万元以下的为中小微型企业。其中，   从业人员 300 人及以上， 且营业收入 2000 万元及以上的为中型企业； 从业人员 20 人及以上， 且营 业收入 100 万元及以上的为小型企业； 从业人员 20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（九） 住宿业。从业人员 300 人以下或营业收入 10000 万元以下的为中小微型企业。其中， 从 业人员 100 人及以上， 且营业收入 2000 万元及以上的为中型企业； 从业人员 10 人及以上， 且营业 收入 100 万元及以上的为小型企业；从业人员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 餐饮业。从业人员 300 人以下或营业收入 10000 万元以下的为中小微型企业。其中， 从 业人员 100 人及以上， 且营业收入 2000 万元及以上的为中型企业； 从业人员 10 人及以上， 且营业 收入 100 万元及以上的为小型企业；从业人员 10 人以下或营业收入 100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（十一）信息传输业。从业人员 2000 人以下或营业收入 100000 万元以下的为中小微型企业。 其中， 从业人员 100 人及以上， 且营业收入 1000 万元及以上的为中型企业； 从业人员 10 人及以上， 且营业收入 100 万元及以上的为小型企业； 从业人员 10 人以下或营业收入 100 万元以下的为微型  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（十二） 软件和信息技术服务业。从业人员 300 人以下或营业收入 10000 万元以下的为中小微 型企业。其中， 从业人员 100 人及以上，且营业收入 1000 万元及以上的为中型企业； 从业人员 10 人及以上， 且营业收入 50 万元及以上的为小型企业； 从业人员 10 人以下或营业收入 50 万元以下  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（十三）房地产开发经营。营业收入 200000 万元以下或资产总额 10000 万元以下的为中小微  型企业。其中， 营业收入 1000 万元及以上， 且资产总额 5000 万元及以上的为中型企业； 营业收入 100 万元及以上， 且资产总额 2000 万元及以上的为小型企业；营业收入 100 万元以下或资产总额  2000 万元以下的为微型企业。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（十四） 物业管理。从业人员 1000 人以下或营业收入 5000 万元以下的为中小微型企业。其中， 从业人员 300 人及以上， 且营业收入 1000 万元及以上的为中型企业；从业人员 100 人及以上，且营业收入 500 万元及以上的为小型企业； 从业人员 100 人以下或营业收入 500 万元以下的为微型企 业。</w:t>
      </w:r>
    </w:p>
    <w:p>
      <w:pPr>
        <w:spacing w:before="199" w:line="359" w:lineRule="auto"/>
        <w:ind w:left="39" w:right="73" w:firstLine="427"/>
        <w:rPr>
          <w:rFonts w:ascii="宋体" w:hAnsi="宋体" w:cs="宋体"/>
          <w:spacing w:val="-7"/>
          <w:szCs w:val="21"/>
        </w:rPr>
      </w:pPr>
      <w:r>
        <w:rPr>
          <w:rFonts w:ascii="宋体" w:hAnsi="宋体" w:cs="宋体"/>
          <w:spacing w:val="-7"/>
          <w:szCs w:val="21"/>
        </w:rPr>
        <w:t>（十五）租赁和商务服务业。从业人员 300 人以下或资产总额 120000 万元以下的为中小微型  企业。其中， 从业人员 100 人及以上， 且资产总额 8000 万元及以上的为中型企业； 从业人员 10 人 及以上，且资产总额 100 万元及以上的为小型企业；从业人员 10 人以下或资产总额 100 万元以下  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（十六） 其他未列明行业。从业人员 300 人以下的为中小微型企业。其中， 从业人员 100 人及 以上的为中型企业； 从业人员 10 人及以上的为小型企业； 从业人员 10 人以下的为微型企业。</w:t>
      </w:r>
    </w:p>
    <w:p>
      <w:pPr>
        <w:spacing w:before="199" w:line="359" w:lineRule="auto"/>
        <w:ind w:left="39" w:right="73" w:firstLine="427"/>
        <w:rPr>
          <w:rFonts w:ascii="宋体" w:hAnsi="宋体" w:cs="宋体"/>
          <w:spacing w:val="-7"/>
          <w:szCs w:val="21"/>
        </w:rPr>
      </w:pPr>
      <w:r>
        <w:rPr>
          <w:rFonts w:ascii="宋体" w:hAnsi="宋体" w:cs="宋体"/>
          <w:spacing w:val="-7"/>
          <w:szCs w:val="21"/>
        </w:rPr>
        <w:t>五、企业类型的划分以统计部门的统计数据为依据。</w:t>
      </w:r>
    </w:p>
    <w:p>
      <w:pPr>
        <w:spacing w:before="199" w:line="359" w:lineRule="auto"/>
        <w:ind w:left="39" w:right="73" w:firstLine="427"/>
        <w:rPr>
          <w:rFonts w:ascii="宋体" w:hAnsi="宋体" w:cs="宋体"/>
          <w:spacing w:val="-7"/>
          <w:szCs w:val="21"/>
        </w:rPr>
      </w:pPr>
      <w:r>
        <w:rPr>
          <w:rFonts w:ascii="宋体" w:hAnsi="宋体" w:cs="宋体"/>
          <w:spacing w:val="-7"/>
          <w:szCs w:val="21"/>
        </w:rPr>
        <w:t>六、本规定适用于在中华人民共和国境内依法设立的各类所有制和各种组织形式的企业。个体 工商户和本规定以外的行业， 参照本规定进行划型。</w:t>
      </w:r>
    </w:p>
    <w:p>
      <w:pPr>
        <w:spacing w:before="199" w:line="359" w:lineRule="auto"/>
        <w:ind w:left="39" w:right="73" w:firstLine="427"/>
        <w:rPr>
          <w:rFonts w:ascii="宋体" w:hAnsi="宋体" w:cs="宋体"/>
          <w:spacing w:val="-7"/>
          <w:szCs w:val="21"/>
        </w:rPr>
      </w:pPr>
      <w:r>
        <w:rPr>
          <w:rFonts w:ascii="宋体" w:hAnsi="宋体" w:cs="宋体"/>
          <w:spacing w:val="-7"/>
          <w:szCs w:val="21"/>
        </w:rPr>
        <w:t>七、本规定的中型企业标准上限即为大型企业标准的下限， 国家统计部门据此制定大中小微型 企业的统计分类。国务院有关部门据此进行相关数据分析， 不得制定与本规定不一致的企业划型标 准。</w:t>
      </w:r>
    </w:p>
    <w:p>
      <w:pPr>
        <w:spacing w:before="199" w:line="359" w:lineRule="auto"/>
        <w:ind w:left="39" w:right="73" w:firstLine="427"/>
        <w:rPr>
          <w:rFonts w:ascii="宋体" w:hAnsi="宋体" w:cs="宋体"/>
          <w:spacing w:val="-7"/>
          <w:szCs w:val="21"/>
        </w:rPr>
      </w:pPr>
      <w:r>
        <w:rPr>
          <w:rFonts w:ascii="宋体" w:hAnsi="宋体" w:cs="宋体"/>
          <w:spacing w:val="-7"/>
          <w:szCs w:val="21"/>
        </w:rPr>
        <w:t>八、本规定由工业和信息化部、国家统计局会同有关部门根据《国民经济行业分类》修订情况 和企业发展变化情况适时修订。</w:t>
      </w:r>
    </w:p>
    <w:p>
      <w:pPr>
        <w:spacing w:before="199" w:line="359" w:lineRule="auto"/>
        <w:ind w:left="39" w:right="73" w:firstLine="427"/>
        <w:rPr>
          <w:rFonts w:ascii="宋体" w:hAnsi="宋体" w:cs="宋体"/>
          <w:spacing w:val="-7"/>
          <w:szCs w:val="21"/>
        </w:rPr>
      </w:pPr>
      <w:r>
        <w:rPr>
          <w:rFonts w:ascii="宋体" w:hAnsi="宋体" w:cs="宋体"/>
          <w:spacing w:val="-7"/>
          <w:szCs w:val="21"/>
        </w:rPr>
        <w:t>九、本规定由工业和信息化部、国家统计局会同有关部门负责解释。</w:t>
      </w:r>
    </w:p>
    <w:p>
      <w:pPr>
        <w:spacing w:before="199" w:line="359" w:lineRule="auto"/>
        <w:ind w:left="39" w:right="73" w:firstLine="427"/>
        <w:rPr>
          <w:rFonts w:ascii="宋体" w:hAnsi="宋体" w:cs="宋体"/>
          <w:spacing w:val="-7"/>
          <w:szCs w:val="21"/>
        </w:rPr>
        <w:sectPr>
          <w:footerReference r:id="rId13" w:type="default"/>
          <w:pgSz w:w="11910" w:h="16840"/>
          <w:pgMar w:top="1440" w:right="1080" w:bottom="1440" w:left="1080" w:header="1020" w:footer="907" w:gutter="0"/>
          <w:pgBorders>
            <w:top w:val="none" w:sz="0" w:space="0"/>
            <w:left w:val="none" w:sz="0" w:space="0"/>
            <w:bottom w:val="none" w:sz="0" w:space="0"/>
            <w:right w:val="none" w:sz="0" w:space="0"/>
          </w:pgBorders>
          <w:cols w:space="720" w:num="1"/>
        </w:sectPr>
      </w:pPr>
      <w:r>
        <w:rPr>
          <w:rFonts w:ascii="宋体" w:hAnsi="宋体" w:cs="宋体"/>
          <w:spacing w:val="-7"/>
          <w:szCs w:val="21"/>
        </w:rPr>
        <w:t>十、本规定自发布之日起执行，原国家经贸委、原国家计委、财政部和国家统计局 2003 年颁 布的《中小企业标准暂行规定》同时废止。</w:t>
      </w:r>
    </w:p>
    <w:p>
      <w:pPr>
        <w:jc w:val="left"/>
      </w:pPr>
    </w:p>
    <w:p>
      <w:pPr>
        <w:spacing w:line="360" w:lineRule="auto"/>
        <w:jc w:val="left"/>
        <w:rPr>
          <w:rFonts w:hint="eastAsia" w:ascii="宋体" w:hAnsi="宋体"/>
          <w:b/>
          <w:bCs/>
          <w:sz w:val="24"/>
          <w:lang w:eastAsia="zh-CN"/>
        </w:rPr>
      </w:pPr>
      <w:r>
        <w:rPr>
          <w:rFonts w:hint="eastAsia" w:ascii="宋体" w:hAnsi="宋体"/>
          <w:b/>
          <w:bCs/>
          <w:sz w:val="24"/>
        </w:rPr>
        <w:t>附件</w:t>
      </w:r>
      <w:r>
        <w:rPr>
          <w:rFonts w:ascii="宋体" w:hAnsi="宋体"/>
          <w:b/>
          <w:bCs/>
          <w:sz w:val="24"/>
        </w:rPr>
        <w:t>2</w:t>
      </w:r>
      <w:r>
        <w:rPr>
          <w:rFonts w:hint="eastAsia" w:ascii="宋体" w:hAnsi="宋体"/>
          <w:b/>
          <w:bCs/>
          <w:sz w:val="24"/>
        </w:rPr>
        <w:t xml:space="preserve">：关于促进残疾人就业政府采购政策的通知， 财库〔2017〕141号 </w:t>
      </w:r>
      <w:r>
        <w:rPr>
          <w:rFonts w:hint="eastAsia" w:ascii="宋体" w:hAnsi="宋体"/>
          <w:b/>
          <w:bCs/>
          <w:sz w:val="24"/>
          <w:lang w:eastAsia="zh-CN"/>
        </w:rPr>
        <w:t>，依据 《鄂财采发〔2021〕8号文》规定监狱企业应按10%优惠比例</w:t>
      </w:r>
    </w:p>
    <w:p>
      <w:pPr>
        <w:spacing w:line="360" w:lineRule="auto"/>
        <w:ind w:firstLine="482" w:firstLineChars="200"/>
        <w:jc w:val="left"/>
        <w:rPr>
          <w:rFonts w:ascii="宋体" w:hAnsi="宋体"/>
          <w:b/>
          <w:bCs/>
          <w:sz w:val="24"/>
        </w:rPr>
      </w:pPr>
    </w:p>
    <w:p>
      <w:pPr>
        <w:spacing w:line="360" w:lineRule="auto"/>
        <w:ind w:firstLine="480" w:firstLineChars="200"/>
        <w:rPr>
          <w:rFonts w:hint="eastAsia" w:ascii="宋体" w:hAnsi="宋体"/>
          <w:bCs/>
          <w:sz w:val="24"/>
        </w:rPr>
      </w:pPr>
      <w:r>
        <w:rPr>
          <w:rFonts w:hint="eastAsia" w:ascii="宋体" w:hAnsi="宋体"/>
          <w:bCs/>
          <w:sz w:val="24"/>
        </w:rPr>
        <w:t>按照财政部《关于促进残疾人就业政府采购政策的通知》财库〔2017〕141号文件执行，符合条件的残疾人福利性单位在参加政府采购活动时，应当提供规定的《残疾人福利性单位声明函》，并对声明的真实性负责。任何单位或者个人在政府采购活动中均不得要求残疾人福利性单位提供其他证明声明函内容的材料。</w:t>
      </w:r>
    </w:p>
    <w:p>
      <w:pPr>
        <w:spacing w:line="360" w:lineRule="auto"/>
        <w:rPr>
          <w:rFonts w:ascii="宋体" w:hAnsi="宋体"/>
          <w:b/>
          <w:bCs/>
          <w:sz w:val="24"/>
        </w:rPr>
      </w:pPr>
      <w:r>
        <w:rPr>
          <w:rFonts w:hint="eastAsia" w:ascii="宋体" w:hAnsi="宋体"/>
          <w:b/>
          <w:bCs/>
          <w:sz w:val="24"/>
        </w:rPr>
        <w:t>《财政部、民政部、中国残疾人联合会关于促进残疾人就业政府采购政策的通知》</w:t>
      </w:r>
    </w:p>
    <w:p>
      <w:pPr>
        <w:spacing w:line="360" w:lineRule="auto"/>
        <w:rPr>
          <w:rFonts w:ascii="宋体" w:hAnsi="宋体"/>
          <w:b/>
          <w:bCs/>
          <w:sz w:val="24"/>
        </w:rPr>
      </w:pPr>
      <w:r>
        <w:rPr>
          <w:rFonts w:hint="eastAsia" w:ascii="宋体" w:hAnsi="宋体"/>
          <w:b/>
          <w:bCs/>
          <w:sz w:val="24"/>
        </w:rPr>
        <w:t>财库〔2017〕141 号</w:t>
      </w:r>
    </w:p>
    <w:p>
      <w:pPr>
        <w:spacing w:line="360" w:lineRule="auto"/>
        <w:ind w:firstLine="480" w:firstLineChars="200"/>
        <w:rPr>
          <w:rFonts w:ascii="宋体" w:hAnsi="宋体"/>
          <w:bCs/>
          <w:sz w:val="24"/>
        </w:rPr>
      </w:pPr>
      <w:r>
        <w:rPr>
          <w:rFonts w:hint="eastAsia" w:ascii="宋体" w:hAnsi="宋体"/>
          <w:bCs/>
          <w:sz w:val="24"/>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pPr>
        <w:spacing w:line="360" w:lineRule="auto"/>
        <w:ind w:firstLine="480" w:firstLineChars="200"/>
        <w:rPr>
          <w:rFonts w:ascii="宋体" w:hAnsi="宋体"/>
          <w:bCs/>
          <w:sz w:val="24"/>
        </w:rPr>
      </w:pPr>
      <w:r>
        <w:rPr>
          <w:rFonts w:hint="eastAsia" w:ascii="宋体" w:hAnsi="宋体"/>
          <w:bCs/>
          <w:sz w:val="24"/>
        </w:rPr>
        <w:t>为了发挥政府采购促进残疾人就业的作用，进一步保障残疾人权益，依照《政府采购法》、《残疾人保障法》等法律法规及相关规定，现就促进残疾人就业政府采购政策通知如下：</w:t>
      </w:r>
    </w:p>
    <w:p>
      <w:pPr>
        <w:spacing w:line="360" w:lineRule="auto"/>
        <w:ind w:firstLine="360" w:firstLineChars="150"/>
        <w:rPr>
          <w:rFonts w:ascii="宋体" w:hAnsi="宋体"/>
          <w:bCs/>
          <w:sz w:val="24"/>
        </w:rPr>
      </w:pPr>
      <w:r>
        <w:rPr>
          <w:rFonts w:hint="eastAsia" w:ascii="宋体" w:hAnsi="宋体"/>
          <w:bCs/>
          <w:sz w:val="24"/>
        </w:rPr>
        <w:t>一、享受政府采购支持政策的残疾人福利性单位应当同时满足以下条件：</w:t>
      </w:r>
    </w:p>
    <w:p>
      <w:pPr>
        <w:spacing w:line="360" w:lineRule="auto"/>
        <w:ind w:firstLine="360" w:firstLineChars="150"/>
        <w:rPr>
          <w:rFonts w:ascii="宋体" w:hAnsi="宋体"/>
          <w:bCs/>
          <w:sz w:val="24"/>
        </w:rPr>
      </w:pPr>
      <w:r>
        <w:rPr>
          <w:rFonts w:hint="eastAsia" w:ascii="宋体" w:hAnsi="宋体"/>
          <w:bCs/>
          <w:sz w:val="24"/>
        </w:rPr>
        <w:t>（一）安置的残疾人占本单位在职职工人数的比例不低于 25%（含 25%），并且安置的残疾人人数不少于10 人（含 10 人）；</w:t>
      </w:r>
    </w:p>
    <w:p>
      <w:pPr>
        <w:spacing w:line="360" w:lineRule="auto"/>
        <w:ind w:firstLine="360" w:firstLineChars="150"/>
        <w:rPr>
          <w:rFonts w:ascii="宋体" w:hAnsi="宋体"/>
          <w:bCs/>
          <w:sz w:val="24"/>
        </w:rPr>
      </w:pPr>
      <w:r>
        <w:rPr>
          <w:rFonts w:hint="eastAsia" w:ascii="宋体" w:hAnsi="宋体"/>
          <w:bCs/>
          <w:sz w:val="24"/>
        </w:rPr>
        <w:t>（二）依法与安置的每位残疾人签订了一年以上（含一年）的劳动合同或服务协议；</w:t>
      </w:r>
    </w:p>
    <w:p>
      <w:pPr>
        <w:spacing w:line="360" w:lineRule="auto"/>
        <w:ind w:firstLine="360" w:firstLineChars="150"/>
        <w:rPr>
          <w:rFonts w:ascii="宋体" w:hAnsi="宋体"/>
          <w:bCs/>
          <w:sz w:val="24"/>
        </w:rPr>
      </w:pPr>
      <w:r>
        <w:rPr>
          <w:rFonts w:hint="eastAsia" w:ascii="宋体" w:hAnsi="宋体"/>
          <w:bCs/>
          <w:sz w:val="24"/>
        </w:rPr>
        <w:t>（三）为安置的每位残疾人按月足额缴纳了基本养老保险、基本医疗保险、失业保险、工伤保险和生育保险等社会保险费；</w:t>
      </w:r>
    </w:p>
    <w:p>
      <w:pPr>
        <w:spacing w:line="360" w:lineRule="auto"/>
        <w:ind w:firstLine="360" w:firstLineChars="150"/>
        <w:rPr>
          <w:rFonts w:ascii="宋体" w:hAnsi="宋体"/>
          <w:bCs/>
          <w:sz w:val="24"/>
        </w:rPr>
      </w:pPr>
      <w:r>
        <w:rPr>
          <w:rFonts w:hint="eastAsia" w:ascii="宋体" w:hAnsi="宋体"/>
          <w:bCs/>
          <w:sz w:val="24"/>
        </w:rPr>
        <w:t>（四）通过银行等金融机构向安置的每位残疾人，按月支付了不低于单位所在区县适用的经省级人民政府批准的月最低工资标准的工资；</w:t>
      </w:r>
    </w:p>
    <w:p>
      <w:pPr>
        <w:spacing w:line="360" w:lineRule="auto"/>
        <w:ind w:firstLine="360" w:firstLineChars="150"/>
        <w:rPr>
          <w:rFonts w:ascii="宋体" w:hAnsi="宋体"/>
          <w:bCs/>
          <w:sz w:val="24"/>
        </w:rPr>
      </w:pPr>
      <w:r>
        <w:rPr>
          <w:rFonts w:hint="eastAsia" w:ascii="宋体" w:hAnsi="宋体"/>
          <w:bCs/>
          <w:sz w:val="24"/>
        </w:rPr>
        <w:t>（五）提供本单位制造的货物、承担的工程或者服务（以下简称产品），或者提供其他残疾人福利性单位制造的货物（不包括使用非残疾人福利性单位注册商标的货物）。</w:t>
      </w:r>
    </w:p>
    <w:p>
      <w:pPr>
        <w:spacing w:line="360" w:lineRule="auto"/>
        <w:ind w:firstLine="480" w:firstLineChars="200"/>
        <w:rPr>
          <w:rFonts w:ascii="宋体" w:hAnsi="宋体"/>
          <w:bCs/>
          <w:sz w:val="24"/>
        </w:rPr>
      </w:pPr>
      <w:r>
        <w:rPr>
          <w:rFonts w:hint="eastAsia" w:ascii="宋体" w:hAnsi="宋体"/>
          <w:bCs/>
          <w:sz w:val="24"/>
        </w:rPr>
        <w:t>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pPr>
        <w:spacing w:line="360" w:lineRule="auto"/>
        <w:ind w:firstLine="480" w:firstLineChars="200"/>
        <w:rPr>
          <w:rFonts w:ascii="宋体" w:hAnsi="宋体"/>
          <w:bCs/>
          <w:sz w:val="24"/>
        </w:rPr>
      </w:pPr>
      <w:r>
        <w:rPr>
          <w:rFonts w:hint="eastAsia" w:ascii="宋体" w:hAnsi="宋体"/>
          <w:bCs/>
          <w:sz w:val="24"/>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spacing w:line="360" w:lineRule="auto"/>
        <w:ind w:firstLine="480" w:firstLineChars="200"/>
        <w:rPr>
          <w:rFonts w:ascii="宋体" w:hAnsi="宋体"/>
          <w:bCs/>
          <w:sz w:val="24"/>
        </w:rPr>
      </w:pPr>
      <w:r>
        <w:rPr>
          <w:rFonts w:hint="eastAsia" w:ascii="宋体" w:hAnsi="宋体"/>
          <w:bCs/>
          <w:sz w:val="24"/>
        </w:rPr>
        <w:t>中标、成交供应商为残疾人福利性单位的，采购人或者其委托的采购代理机构应当随中标、成交结果同时公告其《残疾人福利性单位声明函》，接受社会监督。</w:t>
      </w:r>
    </w:p>
    <w:p>
      <w:pPr>
        <w:spacing w:line="360" w:lineRule="auto"/>
        <w:ind w:firstLine="480" w:firstLineChars="200"/>
        <w:rPr>
          <w:rFonts w:ascii="宋体" w:hAnsi="宋体"/>
          <w:bCs/>
          <w:sz w:val="24"/>
        </w:rPr>
      </w:pPr>
      <w:r>
        <w:rPr>
          <w:rFonts w:hint="eastAsia" w:ascii="宋体" w:hAnsi="宋体"/>
          <w:bCs/>
          <w:sz w:val="24"/>
        </w:rPr>
        <w:t>供应商提供的《残疾人福利性单位声明函》与事实不符的，依照《政府采购法》第七十七条第一款的规定追究法律责任。</w:t>
      </w:r>
    </w:p>
    <w:p>
      <w:pPr>
        <w:spacing w:line="360" w:lineRule="auto"/>
        <w:ind w:firstLine="482" w:firstLineChars="200"/>
        <w:rPr>
          <w:rFonts w:ascii="宋体" w:hAnsi="宋体"/>
          <w:b/>
          <w:bCs/>
          <w:sz w:val="24"/>
        </w:rPr>
      </w:pPr>
      <w:r>
        <w:rPr>
          <w:rFonts w:hint="eastAsia" w:ascii="宋体" w:hAnsi="宋体"/>
          <w:b/>
          <w:bCs/>
          <w:sz w:val="24"/>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spacing w:line="360" w:lineRule="auto"/>
        <w:ind w:firstLine="480" w:firstLineChars="200"/>
        <w:rPr>
          <w:rFonts w:ascii="宋体" w:hAnsi="宋体"/>
          <w:bCs/>
          <w:sz w:val="24"/>
        </w:rPr>
      </w:pPr>
      <w:r>
        <w:rPr>
          <w:rFonts w:hint="eastAsia" w:ascii="宋体" w:hAnsi="宋体"/>
          <w:bCs/>
          <w:sz w:val="24"/>
        </w:rPr>
        <w:t>四、采购人采购公开采购数额标准以上的货物或者服务，因落实促进残疾人就业政策的需要，依法履行有关报批程序后，可须采用公开招标以外的采购方式。</w:t>
      </w:r>
    </w:p>
    <w:p>
      <w:pPr>
        <w:spacing w:line="360" w:lineRule="auto"/>
        <w:ind w:firstLine="480" w:firstLineChars="200"/>
        <w:rPr>
          <w:rFonts w:ascii="宋体" w:hAnsi="宋体"/>
          <w:bCs/>
          <w:sz w:val="24"/>
        </w:rPr>
      </w:pPr>
      <w:r>
        <w:rPr>
          <w:rFonts w:hint="eastAsia" w:ascii="宋体" w:hAnsi="宋体"/>
          <w:bCs/>
          <w:sz w:val="24"/>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spacing w:line="360" w:lineRule="auto"/>
        <w:ind w:firstLine="480" w:firstLineChars="200"/>
        <w:rPr>
          <w:rFonts w:ascii="宋体" w:hAnsi="宋体"/>
          <w:bCs/>
          <w:sz w:val="24"/>
        </w:rPr>
      </w:pPr>
      <w:r>
        <w:rPr>
          <w:rFonts w:hint="eastAsia" w:ascii="宋体" w:hAnsi="宋体"/>
          <w:bCs/>
          <w:sz w:val="24"/>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spacing w:line="360" w:lineRule="auto"/>
        <w:ind w:firstLine="360" w:firstLineChars="150"/>
        <w:rPr>
          <w:rFonts w:ascii="宋体" w:hAnsi="宋体"/>
          <w:bCs/>
          <w:sz w:val="24"/>
        </w:rPr>
      </w:pPr>
      <w:r>
        <w:rPr>
          <w:rFonts w:hint="eastAsia" w:ascii="宋体" w:hAnsi="宋体"/>
          <w:bCs/>
          <w:sz w:val="24"/>
        </w:rPr>
        <w:t>七、本通知自 2017 年 10 月 1 日起执行。</w:t>
      </w:r>
    </w:p>
    <w:p>
      <w:pPr>
        <w:spacing w:line="360" w:lineRule="auto"/>
        <w:ind w:firstLine="360" w:firstLineChars="150"/>
        <w:rPr>
          <w:rFonts w:ascii="宋体" w:hAnsi="宋体"/>
          <w:bCs/>
          <w:sz w:val="24"/>
        </w:rPr>
      </w:pPr>
      <w:r>
        <w:rPr>
          <w:rFonts w:hint="eastAsia" w:ascii="宋体" w:hAnsi="宋体"/>
          <w:bCs/>
          <w:sz w:val="24"/>
        </w:rPr>
        <w:t xml:space="preserve">附件：残疾人福利性单位声明函                                   </w:t>
      </w:r>
    </w:p>
    <w:p>
      <w:pPr>
        <w:spacing w:line="360" w:lineRule="auto"/>
        <w:ind w:firstLine="360" w:firstLineChars="150"/>
        <w:jc w:val="center"/>
        <w:rPr>
          <w:rFonts w:ascii="宋体" w:hAnsi="宋体"/>
          <w:bCs/>
          <w:sz w:val="24"/>
        </w:rPr>
      </w:pPr>
      <w:r>
        <w:rPr>
          <w:rFonts w:ascii="宋体" w:hAnsi="宋体"/>
          <w:bCs/>
          <w:sz w:val="24"/>
        </w:rPr>
        <w:t xml:space="preserve">                              </w:t>
      </w:r>
      <w:r>
        <w:rPr>
          <w:rFonts w:hint="eastAsia" w:ascii="宋体" w:hAnsi="宋体"/>
          <w:bCs/>
          <w:sz w:val="24"/>
        </w:rPr>
        <w:t xml:space="preserve"> 财政部 民政部 中国残疾人联合会</w:t>
      </w:r>
    </w:p>
    <w:p>
      <w:pPr>
        <w:spacing w:line="360" w:lineRule="auto"/>
        <w:rPr>
          <w:rFonts w:hint="eastAsia" w:ascii="宋体" w:hAnsi="宋体"/>
          <w:bCs/>
          <w:sz w:val="24"/>
        </w:rPr>
      </w:pPr>
    </w:p>
    <w:p>
      <w:pPr>
        <w:spacing w:line="360" w:lineRule="auto"/>
        <w:ind w:firstLine="360" w:firstLineChars="150"/>
        <w:jc w:val="center"/>
        <w:rPr>
          <w:rFonts w:ascii="宋体" w:hAnsi="宋体"/>
          <w:bCs/>
          <w:sz w:val="24"/>
        </w:rPr>
      </w:pPr>
      <w:r>
        <w:rPr>
          <w:rFonts w:ascii="宋体" w:hAnsi="宋体"/>
          <w:bCs/>
          <w:sz w:val="24"/>
        </w:rPr>
        <w:t xml:space="preserve">                                     </w:t>
      </w:r>
      <w:r>
        <w:rPr>
          <w:rFonts w:hint="eastAsia" w:ascii="宋体" w:hAnsi="宋体"/>
          <w:bCs/>
          <w:sz w:val="24"/>
        </w:rPr>
        <w:t>2017 年 8 月 22 日</w:t>
      </w:r>
    </w:p>
    <w:p>
      <w:pPr>
        <w:spacing w:line="360" w:lineRule="auto"/>
        <w:ind w:firstLine="360" w:firstLineChars="150"/>
        <w:jc w:val="center"/>
        <w:rPr>
          <w:rFonts w:ascii="宋体" w:hAnsi="宋体"/>
          <w:bCs/>
          <w:sz w:val="24"/>
        </w:rPr>
      </w:pPr>
    </w:p>
    <w:p>
      <w:pPr>
        <w:spacing w:line="360" w:lineRule="auto"/>
        <w:ind w:firstLine="360" w:firstLineChars="150"/>
        <w:jc w:val="center"/>
        <w:rPr>
          <w:rFonts w:hint="eastAsia" w:ascii="宋体" w:hAnsi="宋体"/>
          <w:bCs/>
          <w:sz w:val="24"/>
        </w:rPr>
      </w:pPr>
    </w:p>
    <w:p>
      <w:pPr>
        <w:spacing w:line="360" w:lineRule="auto"/>
        <w:jc w:val="left"/>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pStyle w:val="169"/>
        <w:tabs>
          <w:tab w:val="left" w:pos="4789"/>
        </w:tabs>
        <w:ind w:firstLine="0" w:firstLineChars="0"/>
        <w:jc w:val="center"/>
        <w:outlineLvl w:val="1"/>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lang w:val="en-US" w:eastAsia="zh-CN"/>
        </w:rPr>
        <w:t>二</w:t>
      </w: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rPr>
        <w:t>残疾人福利性单位声明函</w:t>
      </w:r>
    </w:p>
    <w:p>
      <w:pPr>
        <w:spacing w:line="360" w:lineRule="auto"/>
        <w:ind w:firstLine="480" w:firstLineChars="200"/>
        <w:jc w:val="left"/>
        <w:rPr>
          <w:rFonts w:ascii="宋体" w:hAnsi="宋体"/>
          <w:bCs/>
          <w:sz w:val="24"/>
        </w:rPr>
      </w:pPr>
      <w:r>
        <w:rPr>
          <w:rFonts w:hint="eastAsia" w:ascii="宋体" w:hAnsi="宋体"/>
          <w:bCs/>
          <w:sz w:val="24"/>
        </w:rPr>
        <w:t>本单位郑重声明，根据《财政部 民政部 中国残疾人联合会关于促进残疾人就业政府采购政策的通知》（财库〔2017〕 141 号）的规定，本单位为符合条件的残疾人福利性单位，且本单位参加_</w:t>
      </w:r>
      <w:r>
        <w:rPr>
          <w:rFonts w:hint="eastAsia" w:ascii="宋体" w:hAnsi="宋体"/>
          <w:bCs/>
          <w:sz w:val="24"/>
          <w:u w:val="single"/>
        </w:rPr>
        <w:t>__ _</w:t>
      </w:r>
      <w:r>
        <w:rPr>
          <w:rFonts w:hint="eastAsia" w:ascii="宋体" w:hAnsi="宋体"/>
          <w:bCs/>
          <w:sz w:val="24"/>
        </w:rPr>
        <w:t>__单位的__</w:t>
      </w:r>
      <w:r>
        <w:rPr>
          <w:rFonts w:hint="eastAsia" w:ascii="宋体" w:hAnsi="宋体"/>
          <w:bCs/>
          <w:sz w:val="24"/>
          <w:u w:val="single"/>
        </w:rPr>
        <w:t>__ _</w:t>
      </w:r>
      <w:r>
        <w:rPr>
          <w:rFonts w:hint="eastAsia" w:ascii="宋体" w:hAnsi="宋体"/>
          <w:bCs/>
          <w:sz w:val="24"/>
        </w:rPr>
        <w:t>_项目采购活动提供本单位制造的货物（由本单位承担工程/提供服务），或者提供其他残疾人福利性单位制造的货物（不包括使用非残疾人福利性单位注册商标的货物）。</w:t>
      </w:r>
    </w:p>
    <w:p>
      <w:pPr>
        <w:spacing w:line="360" w:lineRule="auto"/>
        <w:ind w:firstLine="360" w:firstLineChars="150"/>
        <w:rPr>
          <w:rFonts w:ascii="宋体" w:hAnsi="宋体"/>
          <w:bCs/>
          <w:sz w:val="24"/>
        </w:rPr>
      </w:pPr>
      <w:r>
        <w:rPr>
          <w:rFonts w:hint="eastAsia" w:ascii="宋体" w:hAnsi="宋体"/>
          <w:bCs/>
          <w:sz w:val="24"/>
        </w:rPr>
        <w:t>本单位对上述声明的真实性负责。如有虚假，将依法承担相应责任。</w:t>
      </w:r>
    </w:p>
    <w:p>
      <w:pPr>
        <w:spacing w:line="360" w:lineRule="auto"/>
        <w:ind w:firstLine="360" w:firstLineChars="150"/>
        <w:rPr>
          <w:rFonts w:ascii="宋体" w:hAnsi="宋体"/>
          <w:bCs/>
          <w:sz w:val="24"/>
        </w:rPr>
      </w:pPr>
    </w:p>
    <w:p>
      <w:pPr>
        <w:tabs>
          <w:tab w:val="left" w:pos="420"/>
        </w:tabs>
        <w:spacing w:line="360" w:lineRule="auto"/>
        <w:ind w:left="479" w:leftChars="228" w:firstLine="4200" w:firstLineChars="1750"/>
        <w:jc w:val="right"/>
        <w:rPr>
          <w:rFonts w:hint="eastAsia" w:ascii="宋体" w:hAnsi="宋体"/>
          <w:bCs/>
          <w:sz w:val="24"/>
        </w:rPr>
      </w:pPr>
      <w:r>
        <w:rPr>
          <w:rFonts w:hint="eastAsia" w:ascii="宋体" w:hAnsi="宋体"/>
          <w:bCs/>
          <w:sz w:val="24"/>
        </w:rPr>
        <w:t xml:space="preserve">                             </w:t>
      </w:r>
    </w:p>
    <w:p>
      <w:pPr>
        <w:tabs>
          <w:tab w:val="left" w:pos="420"/>
        </w:tabs>
        <w:spacing w:line="360" w:lineRule="auto"/>
        <w:ind w:left="479" w:leftChars="228" w:firstLine="4200" w:firstLineChars="1750"/>
        <w:jc w:val="right"/>
        <w:rPr>
          <w:rFonts w:hAnsi="宋体"/>
          <w:bCs/>
          <w:sz w:val="24"/>
          <w:u w:val="single"/>
        </w:rPr>
      </w:pPr>
      <w:r>
        <w:rPr>
          <w:rFonts w:hint="eastAsia" w:hAnsi="宋体"/>
          <w:bCs/>
          <w:sz w:val="24"/>
        </w:rPr>
        <w:t>供应商全称（盖章）：</w:t>
      </w:r>
    </w:p>
    <w:p>
      <w:pPr>
        <w:tabs>
          <w:tab w:val="left" w:pos="420"/>
        </w:tabs>
        <w:spacing w:line="360" w:lineRule="auto"/>
        <w:ind w:left="480" w:hanging="480" w:hangingChars="200"/>
        <w:jc w:val="right"/>
        <w:rPr>
          <w:rFonts w:hAnsi="宋体"/>
          <w:bCs/>
          <w:sz w:val="24"/>
          <w:u w:val="single"/>
        </w:rPr>
      </w:pPr>
      <w:r>
        <w:rPr>
          <w:rFonts w:hint="eastAsia" w:hAnsi="宋体"/>
          <w:bCs/>
          <w:sz w:val="24"/>
        </w:rPr>
        <w:t xml:space="preserve">                      法定代表人或委托代理人（盖章或签字）：</w:t>
      </w:r>
    </w:p>
    <w:p>
      <w:pPr>
        <w:tabs>
          <w:tab w:val="left" w:pos="420"/>
        </w:tabs>
        <w:spacing w:line="360" w:lineRule="auto"/>
        <w:ind w:left="480" w:hanging="480" w:hangingChars="200"/>
        <w:jc w:val="right"/>
        <w:rPr>
          <w:rFonts w:ascii="宋体" w:hAnsi="宋体"/>
          <w:b/>
          <w:bCs/>
          <w:sz w:val="24"/>
        </w:rPr>
      </w:pPr>
      <w:r>
        <w:rPr>
          <w:rFonts w:hint="eastAsia" w:hAnsi="宋体"/>
          <w:bCs/>
          <w:sz w:val="24"/>
        </w:rPr>
        <w:t xml:space="preserve">                                       日</w:t>
      </w:r>
      <w:r>
        <w:rPr>
          <w:rFonts w:hAnsi="宋体"/>
          <w:bCs/>
          <w:sz w:val="24"/>
        </w:rPr>
        <w:t>期： 年  月  日</w:t>
      </w:r>
    </w:p>
    <w:p>
      <w:pPr>
        <w:spacing w:line="360" w:lineRule="auto"/>
        <w:ind w:firstLine="361" w:firstLineChars="150"/>
        <w:jc w:val="righ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ascii="宋体" w:hAnsi="宋体"/>
          <w:b/>
          <w:bCs/>
          <w:sz w:val="24"/>
        </w:rPr>
      </w:pPr>
    </w:p>
    <w:p>
      <w:pPr>
        <w:spacing w:line="360" w:lineRule="auto"/>
        <w:jc w:val="left"/>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spacing w:line="360" w:lineRule="auto"/>
        <w:jc w:val="left"/>
        <w:rPr>
          <w:rFonts w:hint="eastAsia" w:ascii="宋体" w:hAnsi="宋体"/>
          <w:b/>
          <w:bCs/>
          <w:sz w:val="24"/>
          <w:lang w:eastAsia="zh-CN"/>
        </w:rPr>
      </w:pPr>
      <w:r>
        <w:rPr>
          <w:rFonts w:hint="eastAsia" w:ascii="宋体" w:hAnsi="宋体" w:eastAsia="宋体" w:cs="Times New Roman"/>
          <w:b/>
          <w:bCs/>
          <w:sz w:val="24"/>
          <w:lang w:val="en-US" w:eastAsia="zh-CN"/>
        </w:rPr>
        <w:t>附件3：</w:t>
      </w:r>
      <w:r>
        <w:rPr>
          <w:rFonts w:hint="eastAsia" w:ascii="宋体" w:hAnsi="宋体"/>
          <w:b/>
          <w:bCs/>
          <w:sz w:val="24"/>
        </w:rPr>
        <w:t xml:space="preserve">关于政府采购支持监狱企业发展有关问题的通知， 财库[2014]68 号 </w:t>
      </w:r>
      <w:r>
        <w:rPr>
          <w:rFonts w:hint="eastAsia" w:ascii="宋体" w:hAnsi="宋体"/>
          <w:b/>
          <w:bCs/>
          <w:sz w:val="24"/>
          <w:lang w:eastAsia="zh-CN"/>
        </w:rPr>
        <w:t>，依据 《鄂财采发〔2021〕8号文》规定监狱企业应按10%优惠比例</w:t>
      </w:r>
    </w:p>
    <w:p>
      <w:pPr>
        <w:spacing w:line="360" w:lineRule="auto"/>
        <w:ind w:firstLine="360" w:firstLineChars="150"/>
        <w:jc w:val="left"/>
        <w:rPr>
          <w:rFonts w:ascii="宋体" w:hAnsi="宋体"/>
          <w:b/>
          <w:sz w:val="24"/>
        </w:rPr>
      </w:pPr>
      <w:r>
        <w:rPr>
          <w:rFonts w:hint="eastAsia" w:ascii="宋体" w:hAnsi="宋体"/>
          <w:bCs/>
          <w:sz w:val="24"/>
        </w:rPr>
        <w:t>按照财政部《关于政府采购支持监狱企业发展有关问题的通知》 财库[2014]68 号文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监狱企业参加政府采购活动时，应当提供由省级以上监狱管理局、戒毒管理局（含新疆生产建设兵团）出具的属于监狱企业的证明文件。 在政府采购活动中，监狱企业视同小型、微型企业，享受预留份额、评审中价格扣除等政府采购促进中小企业发展的政府采购政策。向监狱企业采购的金额，计入面向中小企业采购的统计数据。 具体扣除比例详见“供应商须知前附表”。</w:t>
      </w:r>
      <w:r>
        <w:rPr>
          <w:rFonts w:hint="eastAsia" w:ascii="宋体" w:hAnsi="宋体"/>
          <w:sz w:val="24"/>
        </w:rPr>
        <w:t xml:space="preserve"> 狱管理局、戒毒管理局（含新疆生产建设兵团）出具的属于监狱企业的证明文件。 </w:t>
      </w:r>
      <w:r>
        <w:rPr>
          <w:rFonts w:hint="eastAsia" w:ascii="宋体" w:hAnsi="宋体"/>
          <w:b/>
          <w:sz w:val="24"/>
        </w:rPr>
        <w:t>在政府采购活动中，监狱企业视同小型、微型企业，享受预留份额、评审中价格扣除等政府采购促进中小企业发展的政府采购政策。向监狱企业采购的金额，计入面向中小企业采购的统计数据。</w:t>
      </w: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1" w:firstLineChars="150"/>
        <w:jc w:val="left"/>
        <w:rPr>
          <w:rFonts w:ascii="宋体" w:hAnsi="宋体"/>
          <w:b/>
          <w:sz w:val="24"/>
        </w:rPr>
      </w:pPr>
    </w:p>
    <w:p>
      <w:pPr>
        <w:spacing w:line="360" w:lineRule="auto"/>
        <w:ind w:firstLine="360" w:firstLineChars="150"/>
        <w:jc w:val="left"/>
        <w:rPr>
          <w:rFonts w:hint="eastAsia" w:ascii="宋体" w:hAnsi="宋体"/>
          <w:bCs/>
          <w:sz w:val="24"/>
        </w:rPr>
      </w:pPr>
    </w:p>
    <w:p>
      <w:pPr>
        <w:spacing w:line="360" w:lineRule="auto"/>
        <w:rPr>
          <w:rFonts w:hint="eastAsia" w:ascii="宋体" w:hAnsi="宋体"/>
          <w:b/>
          <w:bCs/>
          <w:sz w:val="24"/>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pPr>
        <w:spacing w:before="53"/>
        <w:ind w:right="22"/>
        <w:jc w:val="center"/>
        <w:outlineLvl w:val="1"/>
        <w:rPr>
          <w:rFonts w:hint="eastAsia" w:asciiTheme="minorEastAsia" w:hAnsiTheme="minorEastAsia" w:eastAsiaTheme="minorEastAsia" w:cstheme="minorEastAsia"/>
          <w:b/>
          <w:sz w:val="24"/>
          <w:lang w:eastAsia="zh-CN"/>
        </w:rPr>
      </w:pPr>
      <w:r>
        <w:rPr>
          <w:rFonts w:hint="eastAsia" w:asciiTheme="minorEastAsia" w:hAnsiTheme="minorEastAsia" w:eastAsiaTheme="minorEastAsia" w:cstheme="minorEastAsia"/>
          <w:b/>
          <w:sz w:val="24"/>
          <w:lang w:eastAsia="zh-CN"/>
        </w:rPr>
        <w:t>（</w:t>
      </w:r>
      <w:r>
        <w:rPr>
          <w:rFonts w:hint="eastAsia" w:asciiTheme="minorEastAsia" w:hAnsiTheme="minorEastAsia" w:eastAsiaTheme="minorEastAsia" w:cstheme="minorEastAsia"/>
          <w:b/>
          <w:sz w:val="24"/>
          <w:lang w:val="en-US" w:eastAsia="zh-CN"/>
        </w:rPr>
        <w:t>三）监狱企业声明函</w:t>
      </w:r>
    </w:p>
    <w:p>
      <w:pPr>
        <w:widowControl/>
        <w:spacing w:before="100" w:beforeAutospacing="1" w:after="100" w:afterAutospacing="1"/>
        <w:ind w:firstLine="315" w:firstLineChars="150"/>
        <w:rPr>
          <w:rFonts w:ascii="Arial" w:hAnsi="Arial" w:cs="Arial"/>
          <w:szCs w:val="21"/>
        </w:rPr>
      </w:pPr>
      <w:r>
        <w:rPr>
          <w:rFonts w:hint="eastAsia" w:ascii="Arial" w:hAnsi="Arial" w:cs="Arial"/>
          <w:szCs w:val="21"/>
        </w:rPr>
        <w:t>供应商如是</w:t>
      </w:r>
      <w:r>
        <w:rPr>
          <w:rFonts w:hint="eastAsia" w:ascii="宋体" w:hAnsi="宋体" w:cs="Arial"/>
          <w:szCs w:val="21"/>
        </w:rPr>
        <w:t>监狱企业，提供</w:t>
      </w:r>
      <w:r>
        <w:rPr>
          <w:rFonts w:hint="eastAsia" w:ascii="宋体" w:hAnsi="宋体" w:cs="Arial"/>
          <w:szCs w:val="21"/>
          <w:lang w:eastAsia="zh-CN"/>
        </w:rPr>
        <w:t>声明函</w:t>
      </w:r>
      <w:r>
        <w:rPr>
          <w:rFonts w:hint="eastAsia" w:ascii="宋体" w:hAnsi="宋体" w:cs="Arial"/>
          <w:szCs w:val="21"/>
        </w:rPr>
        <w:t>。</w:t>
      </w: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tabs>
          <w:tab w:val="left" w:pos="420"/>
        </w:tabs>
        <w:spacing w:line="360" w:lineRule="auto"/>
        <w:ind w:left="479" w:leftChars="228" w:firstLine="4200" w:firstLineChars="1750"/>
        <w:jc w:val="right"/>
        <w:rPr>
          <w:rFonts w:hAnsi="宋体"/>
          <w:bCs/>
          <w:sz w:val="24"/>
          <w:u w:val="single"/>
        </w:rPr>
      </w:pPr>
      <w:r>
        <w:rPr>
          <w:rFonts w:hint="eastAsia" w:hAnsi="宋体"/>
          <w:bCs/>
          <w:sz w:val="24"/>
        </w:rPr>
        <w:t>供应商全称（盖章）：</w:t>
      </w:r>
    </w:p>
    <w:p>
      <w:pPr>
        <w:tabs>
          <w:tab w:val="left" w:pos="420"/>
        </w:tabs>
        <w:spacing w:line="360" w:lineRule="auto"/>
        <w:ind w:left="480" w:hanging="480" w:hangingChars="200"/>
        <w:jc w:val="right"/>
        <w:rPr>
          <w:rFonts w:hAnsi="宋体"/>
          <w:bCs/>
          <w:sz w:val="24"/>
          <w:u w:val="single"/>
        </w:rPr>
      </w:pPr>
      <w:r>
        <w:rPr>
          <w:rFonts w:hint="eastAsia" w:hAnsi="宋体"/>
          <w:bCs/>
          <w:sz w:val="24"/>
        </w:rPr>
        <w:t xml:space="preserve">                      法定代表人或委托代理人（盖章或签字）：</w:t>
      </w:r>
    </w:p>
    <w:p>
      <w:pPr>
        <w:tabs>
          <w:tab w:val="left" w:pos="420"/>
        </w:tabs>
        <w:spacing w:line="360" w:lineRule="auto"/>
        <w:ind w:left="480" w:hanging="480" w:hangingChars="200"/>
        <w:jc w:val="right"/>
        <w:rPr>
          <w:rFonts w:ascii="宋体" w:hAnsi="宋体"/>
          <w:b/>
          <w:bCs/>
          <w:sz w:val="24"/>
        </w:rPr>
      </w:pPr>
      <w:r>
        <w:rPr>
          <w:rFonts w:hint="eastAsia" w:hAnsi="宋体"/>
          <w:bCs/>
          <w:sz w:val="24"/>
        </w:rPr>
        <w:t xml:space="preserve">                                       日</w:t>
      </w:r>
      <w:r>
        <w:rPr>
          <w:rFonts w:hAnsi="宋体"/>
          <w:bCs/>
          <w:sz w:val="24"/>
        </w:rPr>
        <w:t>期： 年  月  日</w:t>
      </w:r>
    </w:p>
    <w:p>
      <w:pPr>
        <w:spacing w:before="160"/>
        <w:ind w:left="690"/>
        <w:rPr>
          <w:rFonts w:asciiTheme="minorEastAsia" w:hAnsiTheme="minorEastAsia" w:eastAsiaTheme="minorEastAsia" w:cstheme="minorEastAsia"/>
          <w:b/>
          <w:sz w:val="22"/>
          <w:szCs w:val="22"/>
        </w:rPr>
      </w:pPr>
    </w:p>
    <w:p>
      <w:pPr>
        <w:rPr>
          <w:rFonts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br w:type="page"/>
      </w:r>
    </w:p>
    <w:p>
      <w:pPr>
        <w:jc w:val="left"/>
      </w:pPr>
    </w:p>
    <w:p>
      <w:pPr>
        <w:spacing w:before="53"/>
        <w:ind w:right="22"/>
        <w:jc w:val="center"/>
        <w:outlineLvl w:val="1"/>
        <w:rPr>
          <w:rFonts w:asciiTheme="minorEastAsia" w:hAnsiTheme="minorEastAsia" w:eastAsiaTheme="minorEastAsia" w:cstheme="minorEastAsia"/>
          <w:b/>
          <w:sz w:val="24"/>
        </w:rPr>
      </w:pPr>
      <w:bookmarkStart w:id="339" w:name="_Toc6206"/>
      <w:bookmarkStart w:id="340" w:name="_Toc29303"/>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b/>
          <w:sz w:val="24"/>
          <w:lang w:val="en-US" w:eastAsia="zh-CN"/>
        </w:rPr>
        <w:t>四</w:t>
      </w:r>
      <w:r>
        <w:rPr>
          <w:rFonts w:hint="eastAsia" w:asciiTheme="minorEastAsia" w:hAnsiTheme="minorEastAsia" w:eastAsiaTheme="minorEastAsia" w:cstheme="minorEastAsia"/>
          <w:b/>
          <w:sz w:val="24"/>
        </w:rPr>
        <w:t>）无重大违法记录声明</w:t>
      </w:r>
      <w:bookmarkEnd w:id="339"/>
      <w:bookmarkEnd w:id="340"/>
    </w:p>
    <w:p>
      <w:pPr>
        <w:pStyle w:val="2"/>
        <w:rPr>
          <w:rFonts w:asciiTheme="minorEastAsia" w:hAnsiTheme="minorEastAsia" w:eastAsiaTheme="minorEastAsia" w:cstheme="minorEastAsia"/>
          <w:b/>
        </w:rPr>
      </w:pPr>
    </w:p>
    <w:p>
      <w:pPr>
        <w:pStyle w:val="2"/>
        <w:spacing w:before="1"/>
        <w:rPr>
          <w:rFonts w:asciiTheme="minorEastAsia" w:hAnsiTheme="minorEastAsia" w:eastAsiaTheme="minorEastAsia" w:cstheme="minorEastAsia"/>
          <w:b/>
        </w:rPr>
      </w:pPr>
    </w:p>
    <w:p>
      <w:pPr>
        <w:pStyle w:val="2"/>
        <w:ind w:left="690"/>
        <w:rPr>
          <w:rFonts w:asciiTheme="minorEastAsia" w:hAnsiTheme="minorEastAsia" w:eastAsiaTheme="minorEastAsia" w:cstheme="minorEastAsia"/>
        </w:rPr>
      </w:pPr>
      <w:r>
        <w:rPr>
          <w:rFonts w:hint="eastAsia" w:asciiTheme="minorEastAsia" w:hAnsiTheme="minorEastAsia" w:eastAsiaTheme="minorEastAsia" w:cstheme="minorEastAsia"/>
        </w:rPr>
        <w:t>（采购代理机构和采购人）：</w:t>
      </w:r>
    </w:p>
    <w:p>
      <w:pPr>
        <w:pStyle w:val="2"/>
        <w:spacing w:before="160" w:line="364" w:lineRule="auto"/>
        <w:ind w:left="690" w:right="780" w:firstLine="484"/>
        <w:rPr>
          <w:rFonts w:asciiTheme="minorEastAsia" w:hAnsiTheme="minorEastAsia" w:eastAsiaTheme="minorEastAsia" w:cstheme="minorEastAsia"/>
        </w:rPr>
      </w:pPr>
      <w:r>
        <w:rPr>
          <w:rFonts w:hint="eastAsia" w:asciiTheme="minorEastAsia" w:hAnsiTheme="minorEastAsia" w:eastAsiaTheme="minorEastAsia" w:cstheme="minorEastAsia"/>
        </w:rPr>
        <w:t>我方在此声明，我方在参加本次政府采购活动前三年内，在经营活动中没有以下重大违法记录：</w:t>
      </w:r>
    </w:p>
    <w:p>
      <w:pPr>
        <w:pStyle w:val="169"/>
        <w:numPr>
          <w:ilvl w:val="0"/>
          <w:numId w:val="7"/>
        </w:numPr>
        <w:tabs>
          <w:tab w:val="left" w:pos="932"/>
        </w:tabs>
        <w:spacing w:before="2"/>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我方因违法经营被追究过刑事责任；</w:t>
      </w:r>
    </w:p>
    <w:p>
      <w:pPr>
        <w:pStyle w:val="169"/>
        <w:numPr>
          <w:ilvl w:val="0"/>
          <w:numId w:val="7"/>
        </w:numPr>
        <w:tabs>
          <w:tab w:val="left" w:pos="932"/>
        </w:tabs>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我方因违法经营被责令停产停业、吊销许可证或者执照；</w:t>
      </w:r>
    </w:p>
    <w:p>
      <w:pPr>
        <w:pStyle w:val="169"/>
        <w:numPr>
          <w:ilvl w:val="0"/>
          <w:numId w:val="7"/>
        </w:numPr>
        <w:tabs>
          <w:tab w:val="left" w:pos="932"/>
        </w:tabs>
        <w:spacing w:before="161"/>
        <w:ind w:firstLine="48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我方因违法经营被处以较大数额罚款等行政处罚。</w:t>
      </w:r>
    </w:p>
    <w:p>
      <w:pPr>
        <w:pStyle w:val="2"/>
        <w:spacing w:before="160" w:line="364" w:lineRule="auto"/>
        <w:ind w:left="690" w:right="780" w:firstLine="480"/>
        <w:rPr>
          <w:rFonts w:asciiTheme="minorEastAsia" w:hAnsiTheme="minorEastAsia" w:eastAsiaTheme="minorEastAsia" w:cstheme="minorEastAsia"/>
        </w:rPr>
      </w:pPr>
      <w:r>
        <w:rPr>
          <w:rFonts w:hint="eastAsia" w:asciiTheme="minorEastAsia" w:hAnsiTheme="minorEastAsia" w:eastAsiaTheme="minorEastAsia" w:cstheme="minorEastAsia"/>
        </w:rPr>
        <w:t>随本声明附上我方参加本次政府采购活动前 3 年内发生的诉讼及仲裁情况表以及相关的法律证明文件供贵方核验。我方保证上述信息的完整、客观、真实、准确，并愿意承担我方因提供虚假材料谋骗取成交、成交所引起的一切法律后果。</w:t>
      </w:r>
    </w:p>
    <w:p>
      <w:pPr>
        <w:pStyle w:val="2"/>
        <w:spacing w:before="2"/>
        <w:ind w:left="1170"/>
        <w:rPr>
          <w:rFonts w:asciiTheme="minorEastAsia" w:hAnsiTheme="minorEastAsia" w:eastAsiaTheme="minorEastAsia" w:cstheme="minorEastAsia"/>
        </w:rPr>
      </w:pPr>
      <w:r>
        <w:rPr>
          <w:rFonts w:hint="eastAsia" w:asciiTheme="minorEastAsia" w:hAnsiTheme="minorEastAsia" w:eastAsiaTheme="minorEastAsia" w:cstheme="minorEastAsia"/>
        </w:rPr>
        <w:t>特此声明！</w:t>
      </w:r>
    </w:p>
    <w:p>
      <w:pPr>
        <w:pStyle w:val="2"/>
        <w:rPr>
          <w:rFonts w:asciiTheme="minorEastAsia" w:hAnsiTheme="minorEastAsia" w:eastAsiaTheme="minorEastAsia" w:cstheme="minorEastAsia"/>
        </w:rPr>
      </w:pPr>
    </w:p>
    <w:p>
      <w:pPr>
        <w:pStyle w:val="2"/>
        <w:rPr>
          <w:rFonts w:asciiTheme="minorEastAsia" w:hAnsiTheme="minorEastAsia" w:eastAsiaTheme="minorEastAsia" w:cstheme="minorEastAsia"/>
        </w:rPr>
      </w:pPr>
    </w:p>
    <w:p>
      <w:pPr>
        <w:pStyle w:val="2"/>
        <w:rPr>
          <w:rFonts w:asciiTheme="minorEastAsia" w:hAnsiTheme="minorEastAsia" w:eastAsiaTheme="minorEastAsia" w:cstheme="minorEastAsia"/>
        </w:rPr>
      </w:pPr>
    </w:p>
    <w:p>
      <w:pPr>
        <w:pStyle w:val="2"/>
        <w:spacing w:before="66"/>
        <w:ind w:left="896"/>
        <w:rPr>
          <w:rFonts w:ascii="宋体" w:hAnsi="宋体"/>
          <w:u w:val="single"/>
        </w:rPr>
      </w:pPr>
      <w:r>
        <w:rPr>
          <w:rFonts w:hint="eastAsia" w:asciiTheme="minorEastAsia" w:hAnsiTheme="minorEastAsia" w:eastAsiaTheme="minorEastAsia" w:cstheme="minorEastAsia"/>
          <w:kern w:val="0"/>
        </w:rPr>
        <w:t>供 应 商 名 称（签字或盖章）：</w:t>
      </w:r>
      <w:r>
        <w:rPr>
          <w:rFonts w:hint="eastAsia" w:ascii="宋体" w:hAnsi="宋体"/>
          <w:u w:val="single"/>
        </w:rPr>
        <w:t xml:space="preserve">                       </w:t>
      </w:r>
    </w:p>
    <w:p>
      <w:pPr>
        <w:pStyle w:val="2"/>
        <w:spacing w:before="66"/>
        <w:ind w:left="896"/>
        <w:rPr>
          <w:rFonts w:asciiTheme="minorEastAsia" w:hAnsiTheme="minorEastAsia" w:eastAsiaTheme="minorEastAsia" w:cstheme="minorEastAsia"/>
          <w:kern w:val="0"/>
        </w:rPr>
      </w:pPr>
      <w:r>
        <w:rPr>
          <w:rFonts w:hint="eastAsia" w:asciiTheme="minorEastAsia" w:hAnsiTheme="minorEastAsia" w:eastAsiaTheme="minorEastAsia" w:cstheme="minorEastAsia"/>
          <w:kern w:val="0"/>
        </w:rPr>
        <w:t>时</w:t>
      </w:r>
      <w:r>
        <w:rPr>
          <w:rFonts w:hint="eastAsia" w:asciiTheme="minorEastAsia" w:hAnsiTheme="minorEastAsia" w:eastAsiaTheme="minorEastAsia" w:cstheme="minorEastAsia"/>
          <w:kern w:val="0"/>
        </w:rPr>
        <w:tab/>
      </w:r>
      <w:r>
        <w:rPr>
          <w:rFonts w:hint="eastAsia" w:asciiTheme="minorEastAsia" w:hAnsiTheme="minorEastAsia" w:eastAsiaTheme="minorEastAsia" w:cstheme="minorEastAsia"/>
          <w:kern w:val="0"/>
        </w:rPr>
        <w:t>间：</w:t>
      </w:r>
      <w:r>
        <w:rPr>
          <w:rFonts w:hint="eastAsia" w:ascii="宋体" w:hAnsi="宋体"/>
          <w:u w:val="single"/>
        </w:rPr>
        <w:t xml:space="preserve">      </w:t>
      </w:r>
      <w:r>
        <w:rPr>
          <w:rFonts w:hint="eastAsia" w:asciiTheme="minorEastAsia" w:hAnsiTheme="minorEastAsia" w:eastAsiaTheme="minorEastAsia" w:cstheme="minorEastAsia"/>
          <w:kern w:val="0"/>
        </w:rPr>
        <w:t>年</w:t>
      </w:r>
      <w:r>
        <w:rPr>
          <w:rFonts w:hint="eastAsia" w:ascii="宋体" w:hAnsi="宋体"/>
          <w:u w:val="single"/>
        </w:rPr>
        <w:t xml:space="preserve">      </w:t>
      </w:r>
      <w:r>
        <w:rPr>
          <w:rFonts w:hint="eastAsia" w:asciiTheme="minorEastAsia" w:hAnsiTheme="minorEastAsia" w:eastAsiaTheme="minorEastAsia" w:cstheme="minorEastAsia"/>
          <w:kern w:val="0"/>
        </w:rPr>
        <w:t>月</w:t>
      </w:r>
      <w:r>
        <w:rPr>
          <w:rFonts w:hint="eastAsia" w:ascii="宋体" w:hAnsi="宋体"/>
          <w:u w:val="single"/>
        </w:rPr>
        <w:t xml:space="preserve">      </w:t>
      </w:r>
      <w:r>
        <w:rPr>
          <w:rFonts w:hint="eastAsia" w:asciiTheme="minorEastAsia" w:hAnsiTheme="minorEastAsia" w:eastAsiaTheme="minorEastAsia" w:cstheme="minorEastAsia"/>
          <w:kern w:val="0"/>
        </w:rPr>
        <w:t>日</w:t>
      </w:r>
    </w:p>
    <w:p>
      <w:pPr>
        <w:spacing w:before="160"/>
        <w:ind w:left="690"/>
        <w:rPr>
          <w:rFonts w:asciiTheme="minorEastAsia" w:hAnsiTheme="minorEastAsia" w:eastAsiaTheme="minorEastAsia" w:cstheme="minorEastAsia"/>
          <w:b/>
          <w:sz w:val="22"/>
          <w:szCs w:val="22"/>
        </w:rPr>
      </w:pPr>
    </w:p>
    <w:p>
      <w:pPr>
        <w:pStyle w:val="2"/>
        <w:spacing w:line="560" w:lineRule="exact"/>
        <w:rPr>
          <w:rFonts w:ascii="宋体" w:hAnsi="宋体"/>
        </w:rPr>
      </w:pPr>
    </w:p>
    <w:bookmarkEnd w:id="240"/>
    <w:bookmarkEnd w:id="241"/>
    <w:bookmarkEnd w:id="242"/>
    <w:bookmarkEnd w:id="243"/>
    <w:p>
      <w:pPr>
        <w:spacing w:line="440" w:lineRule="exact"/>
        <w:rPr>
          <w:rFonts w:ascii="宋体" w:hAnsi="宋体"/>
          <w:sz w:val="24"/>
        </w:rPr>
      </w:pPr>
    </w:p>
    <w:p>
      <w:pPr>
        <w:spacing w:line="440" w:lineRule="exact"/>
        <w:rPr>
          <w:rFonts w:ascii="宋体" w:hAnsi="宋体"/>
          <w:sz w:val="24"/>
        </w:rPr>
      </w:pPr>
      <w:bookmarkStart w:id="341" w:name="_Toc387154599"/>
      <w:bookmarkStart w:id="342" w:name="_Toc461966539"/>
    </w:p>
    <w:p>
      <w:pPr>
        <w:pStyle w:val="4"/>
        <w:spacing w:before="0" w:after="0" w:line="480" w:lineRule="exact"/>
        <w:ind w:left="1132" w:hanging="1504" w:hangingChars="470"/>
        <w:jc w:val="center"/>
        <w:outlineLvl w:val="1"/>
        <w:rPr>
          <w:rFonts w:hint="eastAsia" w:ascii="宋体" w:hAnsi="宋体" w:eastAsia="宋体" w:cs="宋体"/>
          <w:sz w:val="24"/>
          <w:lang w:eastAsia="zh-CN"/>
        </w:rPr>
      </w:pPr>
      <w:r>
        <w:rPr>
          <w:rFonts w:hint="eastAsia" w:hAnsi="宋体"/>
        </w:rPr>
        <w:br w:type="page"/>
      </w:r>
      <w:bookmarkStart w:id="343" w:name="_Toc20630"/>
      <w:bookmarkStart w:id="344" w:name="_Toc4667"/>
      <w:bookmarkStart w:id="345" w:name="_Toc26863"/>
      <w:r>
        <w:rPr>
          <w:rFonts w:hint="eastAsia" w:asciiTheme="minorEastAsia" w:hAnsiTheme="minorEastAsia" w:eastAsiaTheme="minorEastAsia" w:cstheme="minorEastAsia"/>
          <w:b/>
          <w:bCs w:val="0"/>
          <w:kern w:val="2"/>
          <w:sz w:val="24"/>
          <w:szCs w:val="24"/>
          <w:lang w:val="en-US" w:eastAsia="zh-CN" w:bidi="ar-SA"/>
        </w:rPr>
        <w:t>（五）联合体协议（如有）</w:t>
      </w:r>
      <w:bookmarkEnd w:id="343"/>
      <w:bookmarkEnd w:id="344"/>
      <w:bookmarkEnd w:id="345"/>
    </w:p>
    <w:p>
      <w:pPr>
        <w:spacing w:line="520" w:lineRule="exact"/>
        <w:rPr>
          <w:rFonts w:ascii="宋体" w:hAnsi="宋体"/>
          <w:sz w:val="24"/>
          <w:u w:val="single"/>
        </w:rPr>
      </w:pPr>
      <w:r>
        <w:rPr>
          <w:rFonts w:hint="eastAsia" w:ascii="宋体" w:hAnsi="宋体"/>
          <w:kern w:val="10"/>
          <w:sz w:val="24"/>
        </w:rPr>
        <w:t>甲方：</w:t>
      </w:r>
      <w:r>
        <w:rPr>
          <w:rFonts w:hint="eastAsia" w:ascii="宋体" w:hAnsi="宋体"/>
          <w:sz w:val="24"/>
          <w:u w:val="single"/>
        </w:rPr>
        <w:t>（甲公司全称）</w:t>
      </w:r>
    </w:p>
    <w:p>
      <w:pPr>
        <w:spacing w:line="520" w:lineRule="exact"/>
        <w:rPr>
          <w:rFonts w:ascii="宋体" w:hAnsi="宋体"/>
          <w:sz w:val="24"/>
          <w:u w:val="single"/>
        </w:rPr>
      </w:pPr>
      <w:r>
        <w:rPr>
          <w:rFonts w:hint="eastAsia" w:ascii="宋体" w:hAnsi="宋体"/>
          <w:sz w:val="24"/>
          <w:u w:val="single"/>
        </w:rPr>
        <w:t>乙方：（乙公司全称）</w:t>
      </w:r>
    </w:p>
    <w:p>
      <w:pPr>
        <w:spacing w:line="520" w:lineRule="exact"/>
        <w:rPr>
          <w:rFonts w:ascii="宋体" w:hAnsi="宋体"/>
          <w:sz w:val="24"/>
          <w:u w:val="single"/>
        </w:rPr>
      </w:pPr>
      <w:r>
        <w:rPr>
          <w:rFonts w:hint="eastAsia" w:ascii="宋体" w:hAnsi="宋体"/>
          <w:sz w:val="24"/>
          <w:u w:val="single"/>
        </w:rPr>
        <w:t>丙方：（……公司全称）</w:t>
      </w:r>
    </w:p>
    <w:p>
      <w:pPr>
        <w:spacing w:line="520" w:lineRule="exact"/>
        <w:ind w:firstLine="480" w:firstLineChars="200"/>
        <w:rPr>
          <w:rFonts w:ascii="宋体" w:hAnsi="宋体"/>
          <w:sz w:val="24"/>
        </w:rPr>
      </w:pPr>
      <w:r>
        <w:rPr>
          <w:rFonts w:hint="eastAsia" w:ascii="宋体" w:hAnsi="宋体"/>
          <w:kern w:val="0"/>
          <w:sz w:val="24"/>
          <w:u w:val="single"/>
        </w:rPr>
        <w:t>（甲公司全称）</w:t>
      </w:r>
      <w:r>
        <w:rPr>
          <w:rFonts w:hint="eastAsia" w:ascii="宋体" w:hAnsi="宋体"/>
          <w:kern w:val="0"/>
          <w:sz w:val="24"/>
        </w:rPr>
        <w:t>、</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kern w:val="0"/>
          <w:sz w:val="24"/>
        </w:rPr>
        <w:t>自愿组成联合体，</w:t>
      </w:r>
      <w:r>
        <w:rPr>
          <w:rFonts w:hint="eastAsia" w:ascii="宋体" w:hAnsi="宋体"/>
          <w:kern w:val="10"/>
          <w:sz w:val="24"/>
        </w:rPr>
        <w:t>以一个</w:t>
      </w:r>
      <w:r>
        <w:rPr>
          <w:rFonts w:hint="eastAsia"/>
          <w:kern w:val="10"/>
          <w:sz w:val="24"/>
          <w:lang w:eastAsia="zh-CN"/>
        </w:rPr>
        <w:t>供应商</w:t>
      </w:r>
      <w:r>
        <w:rPr>
          <w:rFonts w:hint="eastAsia" w:ascii="宋体" w:hAnsi="宋体"/>
          <w:kern w:val="10"/>
          <w:sz w:val="24"/>
        </w:rPr>
        <w:t>的身份共同</w:t>
      </w:r>
      <w:r>
        <w:rPr>
          <w:rFonts w:hint="eastAsia" w:ascii="宋体" w:hAnsi="宋体"/>
          <w:kern w:val="0"/>
          <w:sz w:val="24"/>
        </w:rPr>
        <w:t>参加</w:t>
      </w:r>
      <w:r>
        <w:rPr>
          <w:rFonts w:hint="eastAsia" w:ascii="宋体" w:hAnsi="宋体"/>
          <w:kern w:val="0"/>
          <w:sz w:val="24"/>
          <w:u w:val="single"/>
        </w:rPr>
        <w:t>（采购项目名称）</w:t>
      </w:r>
      <w:r>
        <w:rPr>
          <w:rFonts w:hint="eastAsia" w:ascii="宋体" w:hAnsi="宋体"/>
          <w:kern w:val="0"/>
          <w:sz w:val="24"/>
        </w:rPr>
        <w:t xml:space="preserve"> </w:t>
      </w:r>
      <w:r>
        <w:rPr>
          <w:rFonts w:hint="eastAsia" w:ascii="宋体" w:hAnsi="宋体"/>
          <w:kern w:val="0"/>
          <w:sz w:val="24"/>
          <w:u w:val="single"/>
        </w:rPr>
        <w:t>（采购项目编号）</w:t>
      </w:r>
      <w:r>
        <w:rPr>
          <w:rFonts w:hint="eastAsia" w:ascii="宋体" w:hAnsi="宋体"/>
          <w:kern w:val="0"/>
          <w:sz w:val="24"/>
        </w:rPr>
        <w:t>的响应活动。</w:t>
      </w:r>
      <w:r>
        <w:rPr>
          <w:rFonts w:hint="eastAsia" w:ascii="宋体" w:hAnsi="宋体"/>
          <w:sz w:val="24"/>
        </w:rPr>
        <w:t>经各方充分协商一致，就</w:t>
      </w:r>
      <w:r>
        <w:rPr>
          <w:rFonts w:hint="eastAsia" w:ascii="宋体" w:hAnsi="宋体"/>
          <w:kern w:val="10"/>
          <w:sz w:val="24"/>
        </w:rPr>
        <w:t>项目的响应和合同实施阶段的有关事务协商一致</w:t>
      </w:r>
      <w:r>
        <w:rPr>
          <w:rFonts w:hint="eastAsia" w:ascii="宋体" w:hAnsi="宋体"/>
          <w:kern w:val="0"/>
          <w:sz w:val="24"/>
        </w:rPr>
        <w:t>订立协议如下</w:t>
      </w:r>
      <w:r>
        <w:rPr>
          <w:rFonts w:hint="eastAsia" w:ascii="宋体" w:hAnsi="宋体"/>
          <w:sz w:val="24"/>
        </w:rPr>
        <w:t>：</w:t>
      </w:r>
    </w:p>
    <w:p>
      <w:pPr>
        <w:spacing w:line="520" w:lineRule="exact"/>
        <w:ind w:firstLine="480" w:firstLineChars="200"/>
        <w:rPr>
          <w:rFonts w:ascii="宋体" w:hAnsi="宋体"/>
          <w:sz w:val="24"/>
        </w:rPr>
      </w:pPr>
      <w:r>
        <w:rPr>
          <w:rFonts w:hint="eastAsia" w:ascii="宋体" w:hAnsi="宋体"/>
          <w:sz w:val="24"/>
        </w:rPr>
        <w:t>一、联合体各方关系</w:t>
      </w:r>
    </w:p>
    <w:p>
      <w:pPr>
        <w:spacing w:line="520" w:lineRule="exact"/>
        <w:ind w:firstLine="480" w:firstLineChars="200"/>
        <w:rPr>
          <w:rFonts w:ascii="宋体" w:hAnsi="宋体"/>
          <w:sz w:val="24"/>
        </w:rPr>
      </w:pPr>
      <w:r>
        <w:rPr>
          <w:rFonts w:hint="eastAsia" w:ascii="宋体" w:hAnsi="宋体"/>
          <w:kern w:val="0"/>
          <w:sz w:val="24"/>
          <w:u w:val="single"/>
        </w:rPr>
        <w:t>（甲公司全称）</w:t>
      </w:r>
      <w:r>
        <w:rPr>
          <w:rFonts w:hint="eastAsia" w:ascii="宋体" w:hAnsi="宋体"/>
          <w:kern w:val="0"/>
          <w:sz w:val="24"/>
        </w:rPr>
        <w:t>、</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sz w:val="24"/>
        </w:rPr>
        <w:t>共同组成一个联合体，以一个</w:t>
      </w:r>
      <w:r>
        <w:rPr>
          <w:rFonts w:hint="eastAsia"/>
          <w:sz w:val="24"/>
          <w:lang w:eastAsia="zh-CN"/>
        </w:rPr>
        <w:t>供应商</w:t>
      </w:r>
      <w:r>
        <w:rPr>
          <w:rFonts w:hint="eastAsia" w:ascii="宋体" w:hAnsi="宋体"/>
          <w:sz w:val="24"/>
        </w:rPr>
        <w:t>的身份共同参加本项目的</w:t>
      </w:r>
      <w:r>
        <w:rPr>
          <w:rFonts w:hint="eastAsia" w:ascii="宋体" w:hAnsi="宋体"/>
          <w:kern w:val="0"/>
          <w:sz w:val="24"/>
        </w:rPr>
        <w:t>响应</w:t>
      </w:r>
      <w:r>
        <w:rPr>
          <w:rFonts w:hint="eastAsia" w:ascii="宋体" w:hAnsi="宋体"/>
          <w:sz w:val="24"/>
        </w:rPr>
        <w:t>。</w:t>
      </w:r>
      <w:r>
        <w:rPr>
          <w:rFonts w:hint="eastAsia" w:ascii="宋体" w:hAnsi="宋体"/>
          <w:kern w:val="0"/>
          <w:sz w:val="24"/>
          <w:u w:val="single"/>
        </w:rPr>
        <w:t>（甲公司全称）</w:t>
      </w:r>
      <w:r>
        <w:rPr>
          <w:rFonts w:hint="eastAsia" w:ascii="宋体" w:hAnsi="宋体"/>
          <w:kern w:val="0"/>
          <w:sz w:val="24"/>
        </w:rPr>
        <w:t>为联合体主办方、</w:t>
      </w:r>
      <w:r>
        <w:rPr>
          <w:rFonts w:hint="eastAsia" w:ascii="宋体" w:hAnsi="宋体"/>
          <w:kern w:val="0"/>
          <w:sz w:val="24"/>
          <w:u w:val="single"/>
        </w:rPr>
        <w:t>（乙公司全称）</w:t>
      </w:r>
      <w:r>
        <w:rPr>
          <w:rFonts w:hint="eastAsia" w:ascii="宋体" w:hAnsi="宋体"/>
          <w:kern w:val="0"/>
          <w:sz w:val="24"/>
        </w:rPr>
        <w:t>、</w:t>
      </w:r>
      <w:r>
        <w:rPr>
          <w:rFonts w:hint="eastAsia" w:ascii="宋体" w:hAnsi="宋体"/>
          <w:kern w:val="0"/>
          <w:sz w:val="24"/>
          <w:u w:val="single"/>
        </w:rPr>
        <w:t>（……公司全称）</w:t>
      </w:r>
      <w:r>
        <w:rPr>
          <w:rFonts w:hint="eastAsia" w:ascii="宋体" w:hAnsi="宋体"/>
          <w:sz w:val="24"/>
        </w:rPr>
        <w:t>作为联合体成员，若中标，联合体各方共同与</w:t>
      </w:r>
      <w:r>
        <w:rPr>
          <w:rFonts w:hint="eastAsia" w:ascii="宋体" w:hAnsi="宋体"/>
          <w:sz w:val="24"/>
          <w:u w:val="single"/>
        </w:rPr>
        <w:t>（采购人）</w:t>
      </w:r>
      <w:r>
        <w:rPr>
          <w:rFonts w:hint="eastAsia" w:ascii="宋体" w:hAnsi="宋体"/>
          <w:sz w:val="24"/>
        </w:rPr>
        <w:t>签订政府采购合同。</w:t>
      </w:r>
    </w:p>
    <w:p>
      <w:pPr>
        <w:spacing w:line="520" w:lineRule="exact"/>
        <w:ind w:firstLine="480" w:firstLineChars="200"/>
        <w:rPr>
          <w:rFonts w:ascii="宋体" w:hAnsi="宋体"/>
          <w:sz w:val="24"/>
        </w:rPr>
      </w:pPr>
      <w:r>
        <w:rPr>
          <w:rFonts w:hint="eastAsia" w:ascii="宋体" w:hAnsi="宋体"/>
          <w:sz w:val="24"/>
        </w:rPr>
        <w:t>二、联合体内部有关事项约定如下：</w:t>
      </w:r>
    </w:p>
    <w:p>
      <w:pPr>
        <w:spacing w:line="520" w:lineRule="exact"/>
        <w:ind w:firstLine="480" w:firstLineChars="200"/>
        <w:rPr>
          <w:rFonts w:ascii="宋体" w:hAnsi="宋体"/>
          <w:sz w:val="24"/>
        </w:rPr>
      </w:pPr>
      <w:r>
        <w:rPr>
          <w:rFonts w:hint="eastAsia" w:ascii="宋体" w:hAnsi="宋体"/>
          <w:sz w:val="24"/>
        </w:rPr>
        <w:t>1.甲方作为联合体的主办方，代表联合体各方负责投标和合同实施阶段的主办、协调工作。</w:t>
      </w:r>
    </w:p>
    <w:p>
      <w:pPr>
        <w:spacing w:line="520" w:lineRule="exact"/>
        <w:ind w:firstLine="480" w:firstLineChars="200"/>
        <w:rPr>
          <w:rFonts w:ascii="宋体" w:hAnsi="宋体"/>
          <w:sz w:val="24"/>
        </w:rPr>
      </w:pPr>
      <w:r>
        <w:rPr>
          <w:rFonts w:hint="eastAsia" w:ascii="宋体" w:hAnsi="宋体"/>
          <w:sz w:val="24"/>
        </w:rPr>
        <w:t>2.联合体将严格按照文件的各项要求，递交投标文件，切实执行一切合同文件，共同承担合同规定的一切义务和责任，同时按照内部职责的划分，承担自身所负的责任和风险，在法律上在承担连带责任。</w:t>
      </w:r>
    </w:p>
    <w:p>
      <w:pPr>
        <w:spacing w:line="520" w:lineRule="exact"/>
        <w:ind w:firstLine="480" w:firstLineChars="200"/>
        <w:rPr>
          <w:rFonts w:ascii="宋体" w:hAnsi="宋体"/>
          <w:sz w:val="24"/>
        </w:rPr>
      </w:pPr>
      <w:r>
        <w:rPr>
          <w:rFonts w:hint="eastAsia" w:ascii="宋体" w:hAnsi="宋体"/>
          <w:sz w:val="24"/>
        </w:rPr>
        <w:t>3.如果本联合体中标，</w:t>
      </w:r>
      <w:r>
        <w:rPr>
          <w:rFonts w:hint="eastAsia" w:ascii="宋体" w:hAnsi="宋体"/>
          <w:kern w:val="0"/>
          <w:sz w:val="24"/>
          <w:u w:val="single"/>
        </w:rPr>
        <w:t>（甲公司全称）负责本项目            部分，（乙公司全称）负责本项目              部分，……公司全称）负责本项目            部分。</w:t>
      </w:r>
    </w:p>
    <w:p>
      <w:pPr>
        <w:spacing w:line="520" w:lineRule="exact"/>
        <w:ind w:firstLine="480" w:firstLineChars="200"/>
        <w:rPr>
          <w:rFonts w:ascii="宋体" w:hAnsi="宋体"/>
          <w:sz w:val="24"/>
        </w:rPr>
      </w:pPr>
      <w:r>
        <w:rPr>
          <w:rFonts w:hint="eastAsia" w:ascii="宋体" w:hAnsi="宋体"/>
          <w:sz w:val="24"/>
        </w:rPr>
        <w:t>4.如中标，联合体各方共同与</w:t>
      </w:r>
      <w:r>
        <w:rPr>
          <w:rFonts w:hint="eastAsia" w:ascii="宋体" w:hAnsi="宋体"/>
          <w:sz w:val="24"/>
          <w:u w:val="single"/>
        </w:rPr>
        <w:t>（采购人）</w:t>
      </w:r>
      <w:r>
        <w:rPr>
          <w:rFonts w:hint="eastAsia" w:ascii="宋体" w:hAnsi="宋体"/>
          <w:sz w:val="24"/>
        </w:rPr>
        <w:t>签订合同书，并就中标项目向采购人负责有连带的和各自的法律责任；</w:t>
      </w:r>
    </w:p>
    <w:p>
      <w:pPr>
        <w:spacing w:line="520" w:lineRule="exact"/>
        <w:ind w:firstLine="482" w:firstLineChars="200"/>
        <w:rPr>
          <w:rFonts w:ascii="宋体" w:hAnsi="宋体"/>
          <w:b/>
          <w:bCs/>
          <w:sz w:val="24"/>
        </w:rPr>
      </w:pPr>
      <w:r>
        <w:rPr>
          <w:rFonts w:hint="eastAsia" w:ascii="宋体" w:hAnsi="宋体"/>
          <w:b/>
          <w:bCs/>
          <w:sz w:val="24"/>
        </w:rPr>
        <w:t>5.联合体成员</w:t>
      </w:r>
      <w:r>
        <w:rPr>
          <w:rFonts w:hint="eastAsia" w:ascii="宋体" w:hAnsi="宋体"/>
          <w:b/>
          <w:bCs/>
          <w:sz w:val="24"/>
          <w:u w:val="single"/>
        </w:rPr>
        <w:t xml:space="preserve">  （公司全称）  </w:t>
      </w:r>
      <w:r>
        <w:rPr>
          <w:rFonts w:hint="eastAsia" w:ascii="宋体" w:hAnsi="宋体"/>
          <w:b/>
          <w:bCs/>
          <w:sz w:val="24"/>
        </w:rPr>
        <w:t>为</w:t>
      </w:r>
      <w:r>
        <w:rPr>
          <w:rFonts w:hint="eastAsia" w:ascii="宋体" w:hAnsi="宋体"/>
          <w:b/>
          <w:bCs/>
          <w:sz w:val="24"/>
          <w:u w:val="single"/>
        </w:rPr>
        <w:t>（请填写：</w:t>
      </w:r>
      <w:r>
        <w:rPr>
          <w:rFonts w:hint="eastAsia"/>
          <w:b/>
          <w:bCs/>
          <w:sz w:val="24"/>
          <w:u w:val="single"/>
          <w:lang w:val="en-US" w:eastAsia="zh-CN"/>
        </w:rPr>
        <w:t>中型/</w:t>
      </w:r>
      <w:r>
        <w:rPr>
          <w:rFonts w:hint="eastAsia" w:ascii="宋体" w:hAnsi="宋体"/>
          <w:b/>
          <w:bCs/>
          <w:sz w:val="24"/>
          <w:u w:val="single"/>
        </w:rPr>
        <w:t>小型</w:t>
      </w:r>
      <w:r>
        <w:rPr>
          <w:rFonts w:hint="eastAsia"/>
          <w:b/>
          <w:bCs/>
          <w:sz w:val="24"/>
          <w:u w:val="single"/>
          <w:lang w:val="en-US" w:eastAsia="zh-CN"/>
        </w:rPr>
        <w:t>/</w:t>
      </w:r>
      <w:r>
        <w:rPr>
          <w:rFonts w:hint="eastAsia" w:ascii="宋体" w:hAnsi="宋体"/>
          <w:b/>
          <w:bCs/>
          <w:sz w:val="24"/>
          <w:u w:val="single"/>
        </w:rPr>
        <w:t>微型）</w:t>
      </w:r>
      <w:r>
        <w:rPr>
          <w:rFonts w:hint="eastAsia" w:ascii="宋体" w:hAnsi="宋体"/>
          <w:b/>
          <w:bCs/>
          <w:sz w:val="24"/>
        </w:rPr>
        <w:t>企业，将承担合同总金额</w:t>
      </w:r>
      <w:r>
        <w:rPr>
          <w:rFonts w:hint="eastAsia" w:ascii="宋体" w:hAnsi="宋体"/>
          <w:b/>
          <w:bCs/>
          <w:sz w:val="24"/>
          <w:u w:val="single"/>
        </w:rPr>
        <w:t xml:space="preserve">    </w:t>
      </w:r>
      <w:r>
        <w:rPr>
          <w:rFonts w:hint="eastAsia" w:ascii="宋体" w:hAnsi="宋体"/>
          <w:b/>
          <w:bCs/>
          <w:sz w:val="24"/>
        </w:rPr>
        <w:t>%的工作内容（联合体成员中有</w:t>
      </w:r>
      <w:r>
        <w:rPr>
          <w:rFonts w:hint="eastAsia"/>
          <w:b/>
          <w:bCs/>
          <w:sz w:val="24"/>
          <w:lang w:val="en-US" w:eastAsia="zh-CN"/>
        </w:rPr>
        <w:t>中型/</w:t>
      </w:r>
      <w:r>
        <w:rPr>
          <w:rFonts w:hint="eastAsia" w:ascii="宋体" w:hAnsi="宋体"/>
          <w:b/>
          <w:bCs/>
          <w:sz w:val="24"/>
        </w:rPr>
        <w:t>小型</w:t>
      </w:r>
      <w:r>
        <w:rPr>
          <w:rFonts w:hint="eastAsia"/>
          <w:b/>
          <w:bCs/>
          <w:sz w:val="24"/>
          <w:lang w:val="en-US" w:eastAsia="zh-CN"/>
        </w:rPr>
        <w:t>/</w:t>
      </w:r>
      <w:r>
        <w:rPr>
          <w:rFonts w:hint="eastAsia" w:ascii="宋体" w:hAnsi="宋体"/>
          <w:b/>
          <w:bCs/>
          <w:sz w:val="24"/>
        </w:rPr>
        <w:t>微型企业时适用）。</w:t>
      </w:r>
    </w:p>
    <w:p>
      <w:pPr>
        <w:spacing w:line="520" w:lineRule="exact"/>
        <w:ind w:firstLine="480" w:firstLineChars="200"/>
        <w:rPr>
          <w:rFonts w:ascii="宋体" w:hAnsi="宋体"/>
          <w:kern w:val="0"/>
          <w:sz w:val="24"/>
        </w:rPr>
      </w:pPr>
      <w:r>
        <w:rPr>
          <w:rFonts w:hint="eastAsia" w:ascii="宋体" w:hAnsi="宋体"/>
          <w:kern w:val="0"/>
          <w:sz w:val="24"/>
        </w:rPr>
        <w:t>三</w:t>
      </w:r>
      <w:r>
        <w:rPr>
          <w:rFonts w:ascii="宋体" w:hAnsi="宋体"/>
          <w:kern w:val="0"/>
          <w:sz w:val="24"/>
        </w:rPr>
        <w:t>、投标</w:t>
      </w:r>
      <w:r>
        <w:rPr>
          <w:rFonts w:hint="eastAsia" w:ascii="宋体" w:hAnsi="宋体"/>
          <w:kern w:val="0"/>
          <w:sz w:val="24"/>
        </w:rPr>
        <w:t>活动</w:t>
      </w:r>
      <w:r>
        <w:rPr>
          <w:rFonts w:ascii="宋体" w:hAnsi="宋体"/>
          <w:kern w:val="0"/>
          <w:sz w:val="24"/>
        </w:rPr>
        <w:t>以及联合体在中标后</w:t>
      </w:r>
      <w:r>
        <w:rPr>
          <w:rFonts w:hint="eastAsia" w:ascii="宋体" w:hAnsi="宋体"/>
          <w:kern w:val="0"/>
          <w:sz w:val="24"/>
        </w:rPr>
        <w:t>项目</w:t>
      </w:r>
      <w:r>
        <w:rPr>
          <w:rFonts w:ascii="宋体" w:hAnsi="宋体"/>
          <w:kern w:val="0"/>
          <w:sz w:val="24"/>
        </w:rPr>
        <w:t>实施过程中的有关费用按各自承担的工作量分摊。</w:t>
      </w:r>
    </w:p>
    <w:p>
      <w:pPr>
        <w:spacing w:line="520" w:lineRule="exact"/>
        <w:ind w:firstLine="480" w:firstLineChars="200"/>
        <w:rPr>
          <w:rFonts w:ascii="宋体" w:hAnsi="宋体"/>
          <w:kern w:val="0"/>
          <w:sz w:val="24"/>
        </w:rPr>
      </w:pPr>
      <w:r>
        <w:rPr>
          <w:rFonts w:hint="eastAsia" w:ascii="宋体" w:hAnsi="宋体"/>
          <w:kern w:val="0"/>
          <w:sz w:val="24"/>
        </w:rPr>
        <w:t>四、联合体各方不得再以自己名义参与本项目响应，联合体各方不能作为其它联合体或单独响应单位的项目组成员参加本项目响应。因发生上述问题导致联合体响应成为无效报价，联合体的其他成员可追究其违约责任和经济损失。</w:t>
      </w:r>
    </w:p>
    <w:p>
      <w:pPr>
        <w:spacing w:line="520" w:lineRule="exact"/>
        <w:ind w:firstLine="480" w:firstLineChars="200"/>
        <w:rPr>
          <w:rFonts w:hint="eastAsia" w:ascii="宋体" w:hAnsi="宋体"/>
          <w:kern w:val="0"/>
          <w:sz w:val="24"/>
        </w:rPr>
      </w:pPr>
      <w:r>
        <w:rPr>
          <w:rFonts w:hint="eastAsia" w:ascii="宋体" w:hAnsi="宋体"/>
          <w:kern w:val="0"/>
          <w:sz w:val="24"/>
        </w:rPr>
        <w:t>五、联合体如因违约过失责任而导致采购人经济损失或被索赔时，本联合体任何一方均同意无条件优先清偿采购人的一切债务和经济赔偿。</w:t>
      </w:r>
    </w:p>
    <w:p>
      <w:pPr>
        <w:spacing w:line="520" w:lineRule="exact"/>
        <w:ind w:firstLine="480" w:firstLineChars="200"/>
        <w:rPr>
          <w:rFonts w:ascii="宋体" w:hAnsi="宋体"/>
          <w:kern w:val="0"/>
          <w:sz w:val="24"/>
        </w:rPr>
      </w:pPr>
      <w:r>
        <w:rPr>
          <w:rFonts w:hint="eastAsia" w:ascii="宋体" w:hAnsi="宋体"/>
          <w:sz w:val="24"/>
        </w:rPr>
        <w:t>六、</w:t>
      </w:r>
      <w:r>
        <w:rPr>
          <w:rFonts w:ascii="宋体" w:hAnsi="宋体"/>
          <w:sz w:val="24"/>
        </w:rPr>
        <w:t>联合体中标后，本联合体协议是合同的附件，对联合体各成员单位有合同约束力。</w:t>
      </w:r>
    </w:p>
    <w:p>
      <w:pPr>
        <w:spacing w:line="520" w:lineRule="exact"/>
        <w:ind w:left="23" w:leftChars="11" w:firstLine="480" w:firstLineChars="200"/>
        <w:rPr>
          <w:rFonts w:hint="eastAsia" w:ascii="宋体" w:hAnsi="宋体"/>
          <w:sz w:val="24"/>
        </w:rPr>
      </w:pPr>
      <w:r>
        <w:rPr>
          <w:rFonts w:hint="eastAsia" w:ascii="宋体" w:hAnsi="宋体"/>
          <w:kern w:val="0"/>
          <w:sz w:val="24"/>
        </w:rPr>
        <w:t>七、</w:t>
      </w:r>
      <w:r>
        <w:rPr>
          <w:rFonts w:hint="eastAsia" w:ascii="宋体" w:hAnsi="宋体"/>
          <w:sz w:val="24"/>
        </w:rPr>
        <w:t>本协议在</w:t>
      </w:r>
      <w:r>
        <w:rPr>
          <w:rFonts w:hint="eastAsia" w:ascii="宋体" w:hAnsi="宋体"/>
          <w:kern w:val="0"/>
          <w:sz w:val="24"/>
        </w:rPr>
        <w:t>自签署之日起生效，</w:t>
      </w:r>
      <w:r>
        <w:rPr>
          <w:sz w:val="24"/>
        </w:rPr>
        <w:t>联</w:t>
      </w:r>
      <w:r>
        <w:rPr>
          <w:spacing w:val="-3"/>
          <w:sz w:val="24"/>
        </w:rPr>
        <w:t>合</w:t>
      </w:r>
      <w:r>
        <w:rPr>
          <w:sz w:val="24"/>
        </w:rPr>
        <w:t>体</w:t>
      </w:r>
      <w:r>
        <w:rPr>
          <w:spacing w:val="-3"/>
          <w:sz w:val="24"/>
        </w:rPr>
        <w:t>未</w:t>
      </w:r>
      <w:r>
        <w:rPr>
          <w:sz w:val="24"/>
        </w:rPr>
        <w:t>中</w:t>
      </w:r>
      <w:r>
        <w:rPr>
          <w:spacing w:val="-3"/>
          <w:sz w:val="24"/>
        </w:rPr>
        <w:t>标</w:t>
      </w:r>
      <w:r>
        <w:rPr>
          <w:sz w:val="24"/>
        </w:rPr>
        <w:t>或</w:t>
      </w:r>
      <w:r>
        <w:rPr>
          <w:spacing w:val="-3"/>
          <w:sz w:val="24"/>
        </w:rPr>
        <w:t>者</w:t>
      </w:r>
      <w:r>
        <w:rPr>
          <w:sz w:val="24"/>
        </w:rPr>
        <w:t>中标</w:t>
      </w:r>
      <w:r>
        <w:rPr>
          <w:spacing w:val="-3"/>
          <w:sz w:val="24"/>
        </w:rPr>
        <w:t>时</w:t>
      </w:r>
      <w:r>
        <w:rPr>
          <w:sz w:val="24"/>
        </w:rPr>
        <w:t>合</w:t>
      </w:r>
      <w:r>
        <w:rPr>
          <w:spacing w:val="-3"/>
          <w:sz w:val="24"/>
        </w:rPr>
        <w:t>同</w:t>
      </w:r>
      <w:r>
        <w:rPr>
          <w:sz w:val="24"/>
        </w:rPr>
        <w:t>履</w:t>
      </w:r>
      <w:r>
        <w:rPr>
          <w:spacing w:val="-3"/>
          <w:sz w:val="24"/>
        </w:rPr>
        <w:t>行</w:t>
      </w:r>
      <w:r>
        <w:rPr>
          <w:sz w:val="24"/>
        </w:rPr>
        <w:t>完</w:t>
      </w:r>
      <w:r>
        <w:rPr>
          <w:spacing w:val="-3"/>
          <w:sz w:val="24"/>
        </w:rPr>
        <w:t>毕</w:t>
      </w:r>
      <w:r>
        <w:rPr>
          <w:sz w:val="24"/>
        </w:rPr>
        <w:t>后</w:t>
      </w:r>
      <w:r>
        <w:rPr>
          <w:spacing w:val="-3"/>
          <w:sz w:val="24"/>
        </w:rPr>
        <w:t>自</w:t>
      </w:r>
      <w:r>
        <w:rPr>
          <w:sz w:val="24"/>
        </w:rPr>
        <w:t>动失</w:t>
      </w:r>
      <w:r>
        <w:rPr>
          <w:spacing w:val="-3"/>
          <w:sz w:val="24"/>
        </w:rPr>
        <w:t>效</w:t>
      </w:r>
      <w:r>
        <w:rPr>
          <w:sz w:val="24"/>
        </w:rPr>
        <w:t>。</w:t>
      </w:r>
    </w:p>
    <w:p>
      <w:pPr>
        <w:spacing w:line="520" w:lineRule="exact"/>
        <w:ind w:left="23" w:leftChars="11" w:firstLine="480" w:firstLineChars="200"/>
        <w:rPr>
          <w:rFonts w:ascii="宋体" w:hAnsi="宋体"/>
          <w:kern w:val="0"/>
          <w:sz w:val="24"/>
        </w:rPr>
      </w:pPr>
      <w:r>
        <w:rPr>
          <w:rFonts w:hint="eastAsia" w:ascii="宋体" w:hAnsi="宋体"/>
          <w:kern w:val="0"/>
          <w:sz w:val="24"/>
        </w:rPr>
        <w:t>八、本协议书正本一式</w:t>
      </w:r>
      <w:r>
        <w:rPr>
          <w:rFonts w:hint="eastAsia" w:ascii="宋体" w:hAnsi="宋体"/>
          <w:kern w:val="0"/>
          <w:sz w:val="24"/>
          <w:u w:val="single"/>
        </w:rPr>
        <w:t xml:space="preserve">  </w:t>
      </w:r>
      <w:r>
        <w:rPr>
          <w:rFonts w:hint="eastAsia" w:ascii="宋体" w:hAnsi="宋体"/>
          <w:kern w:val="0"/>
          <w:sz w:val="24"/>
        </w:rPr>
        <w:t>份，随投标文件装订</w:t>
      </w:r>
      <w:r>
        <w:rPr>
          <w:rFonts w:hint="eastAsia" w:ascii="宋体" w:hAnsi="宋体"/>
          <w:kern w:val="0"/>
          <w:sz w:val="24"/>
          <w:u w:val="single"/>
        </w:rPr>
        <w:t xml:space="preserve">   </w:t>
      </w:r>
      <w:r>
        <w:rPr>
          <w:rFonts w:hint="eastAsia" w:ascii="宋体" w:hAnsi="宋体"/>
          <w:kern w:val="0"/>
          <w:sz w:val="24"/>
        </w:rPr>
        <w:t>份，送采购人</w:t>
      </w:r>
      <w:r>
        <w:rPr>
          <w:rFonts w:hint="eastAsia" w:ascii="宋体" w:hAnsi="宋体"/>
          <w:kern w:val="0"/>
          <w:sz w:val="24"/>
          <w:u w:val="single"/>
        </w:rPr>
        <w:t xml:space="preserve">   </w:t>
      </w:r>
      <w:r>
        <w:rPr>
          <w:rFonts w:hint="eastAsia" w:ascii="宋体" w:hAnsi="宋体"/>
          <w:kern w:val="0"/>
          <w:sz w:val="24"/>
        </w:rPr>
        <w:t>份，联合体成员各一份；副本一式</w:t>
      </w:r>
      <w:r>
        <w:rPr>
          <w:rFonts w:hint="eastAsia" w:ascii="宋体" w:hAnsi="宋体"/>
          <w:kern w:val="0"/>
          <w:sz w:val="24"/>
          <w:u w:val="single"/>
        </w:rPr>
        <w:t xml:space="preserve">   </w:t>
      </w:r>
      <w:r>
        <w:rPr>
          <w:rFonts w:hint="eastAsia" w:ascii="宋体" w:hAnsi="宋体"/>
          <w:kern w:val="0"/>
          <w:sz w:val="24"/>
        </w:rPr>
        <w:t>份，联合体成员各执</w:t>
      </w:r>
      <w:r>
        <w:rPr>
          <w:rFonts w:hint="eastAsia" w:ascii="宋体" w:hAnsi="宋体"/>
          <w:kern w:val="0"/>
          <w:sz w:val="24"/>
          <w:u w:val="single"/>
        </w:rPr>
        <w:t xml:space="preserve">   </w:t>
      </w:r>
      <w:r>
        <w:rPr>
          <w:rFonts w:hint="eastAsia" w:ascii="宋体" w:hAnsi="宋体"/>
          <w:kern w:val="0"/>
          <w:sz w:val="24"/>
        </w:rPr>
        <w:t xml:space="preserve"> 份。</w:t>
      </w:r>
    </w:p>
    <w:p>
      <w:pPr>
        <w:spacing w:line="520" w:lineRule="exact"/>
        <w:ind w:left="23" w:leftChars="11" w:firstLine="480" w:firstLineChars="200"/>
        <w:rPr>
          <w:rFonts w:ascii="宋体" w:hAnsi="宋体"/>
          <w:kern w:val="0"/>
          <w:sz w:val="24"/>
        </w:rPr>
      </w:pPr>
    </w:p>
    <w:p>
      <w:pPr>
        <w:widowControl/>
        <w:tabs>
          <w:tab w:val="left" w:pos="2977"/>
          <w:tab w:val="left" w:pos="5954"/>
        </w:tabs>
        <w:spacing w:line="520" w:lineRule="exact"/>
        <w:jc w:val="left"/>
        <w:rPr>
          <w:rFonts w:ascii="宋体" w:hAnsi="宋体"/>
          <w:kern w:val="0"/>
          <w:sz w:val="24"/>
        </w:rPr>
      </w:pPr>
      <w:r>
        <w:rPr>
          <w:rFonts w:hint="eastAsia" w:ascii="宋体" w:hAnsi="宋体"/>
          <w:kern w:val="0"/>
          <w:sz w:val="24"/>
        </w:rPr>
        <w:t xml:space="preserve">甲公司全称：（盖章） </w:t>
      </w:r>
      <w:r>
        <w:rPr>
          <w:rFonts w:hint="eastAsia" w:ascii="宋体" w:hAnsi="宋体"/>
          <w:kern w:val="0"/>
          <w:sz w:val="24"/>
        </w:rPr>
        <w:tab/>
      </w:r>
      <w:r>
        <w:rPr>
          <w:rFonts w:hint="eastAsia" w:ascii="宋体" w:hAnsi="宋体"/>
          <w:kern w:val="0"/>
          <w:sz w:val="24"/>
        </w:rPr>
        <w:t>乙公司全称：（盖章）</w:t>
      </w:r>
      <w:r>
        <w:rPr>
          <w:rFonts w:hint="eastAsia" w:ascii="宋体" w:hAnsi="宋体"/>
          <w:kern w:val="0"/>
          <w:sz w:val="24"/>
        </w:rPr>
        <w:tab/>
      </w:r>
      <w:r>
        <w:rPr>
          <w:rFonts w:hint="eastAsia" w:ascii="宋体" w:hAnsi="宋体"/>
          <w:kern w:val="0"/>
          <w:sz w:val="24"/>
        </w:rPr>
        <w:t>……公司全称（盖章）</w:t>
      </w:r>
    </w:p>
    <w:p>
      <w:pPr>
        <w:widowControl/>
        <w:tabs>
          <w:tab w:val="left" w:pos="2977"/>
          <w:tab w:val="left" w:pos="5954"/>
        </w:tabs>
        <w:spacing w:line="520" w:lineRule="exact"/>
        <w:jc w:val="left"/>
        <w:rPr>
          <w:rFonts w:ascii="宋体" w:hAnsi="宋体"/>
          <w:kern w:val="0"/>
          <w:sz w:val="24"/>
        </w:rPr>
      </w:pPr>
      <w:r>
        <w:rPr>
          <w:rFonts w:hint="eastAsia" w:ascii="宋体" w:hAnsi="宋体"/>
          <w:kern w:val="0"/>
          <w:sz w:val="24"/>
        </w:rPr>
        <w:t>法定代表人：（签字或</w:t>
      </w:r>
      <w:r>
        <w:rPr>
          <w:rFonts w:hint="eastAsia" w:ascii="宋体" w:hAnsi="宋体"/>
          <w:sz w:val="24"/>
        </w:rPr>
        <w:t>盖章</w:t>
      </w:r>
      <w:r>
        <w:rPr>
          <w:rFonts w:hint="eastAsia" w:ascii="宋体" w:hAnsi="宋体"/>
          <w:kern w:val="0"/>
          <w:sz w:val="24"/>
        </w:rPr>
        <w:t xml:space="preserve">） </w:t>
      </w:r>
      <w:r>
        <w:rPr>
          <w:rFonts w:hint="eastAsia" w:ascii="宋体" w:hAnsi="宋体"/>
          <w:kern w:val="0"/>
          <w:sz w:val="24"/>
        </w:rPr>
        <w:tab/>
      </w:r>
      <w:r>
        <w:rPr>
          <w:rFonts w:hint="eastAsia" w:ascii="宋体" w:hAnsi="宋体"/>
          <w:kern w:val="0"/>
          <w:sz w:val="24"/>
        </w:rPr>
        <w:t>法定代表人（签字或</w:t>
      </w:r>
      <w:r>
        <w:rPr>
          <w:rFonts w:hint="eastAsia" w:ascii="宋体" w:hAnsi="宋体"/>
          <w:sz w:val="24"/>
        </w:rPr>
        <w:t>盖章</w:t>
      </w:r>
      <w:r>
        <w:rPr>
          <w:rFonts w:hint="eastAsia" w:ascii="宋体" w:hAnsi="宋体"/>
          <w:kern w:val="0"/>
          <w:sz w:val="24"/>
        </w:rPr>
        <w:t>）</w:t>
      </w:r>
      <w:r>
        <w:rPr>
          <w:rFonts w:hint="eastAsia" w:ascii="宋体" w:hAnsi="宋体"/>
          <w:kern w:val="0"/>
          <w:sz w:val="24"/>
        </w:rPr>
        <w:tab/>
      </w:r>
      <w:r>
        <w:rPr>
          <w:rFonts w:hint="eastAsia" w:ascii="宋体" w:hAnsi="宋体"/>
          <w:kern w:val="0"/>
          <w:sz w:val="24"/>
        </w:rPr>
        <w:t xml:space="preserve"> 法定代表人（签字或</w:t>
      </w:r>
      <w:r>
        <w:rPr>
          <w:rFonts w:hint="eastAsia" w:ascii="宋体" w:hAnsi="宋体"/>
          <w:sz w:val="24"/>
        </w:rPr>
        <w:t>盖章</w:t>
      </w:r>
      <w:r>
        <w:rPr>
          <w:rFonts w:hint="eastAsia" w:ascii="宋体" w:hAnsi="宋体"/>
          <w:kern w:val="0"/>
          <w:sz w:val="24"/>
        </w:rPr>
        <w:t>）</w:t>
      </w:r>
    </w:p>
    <w:p>
      <w:pPr>
        <w:widowControl/>
        <w:tabs>
          <w:tab w:val="left" w:pos="2977"/>
          <w:tab w:val="left" w:pos="5954"/>
        </w:tabs>
        <w:spacing w:line="520" w:lineRule="exact"/>
        <w:ind w:firstLine="465"/>
        <w:jc w:val="left"/>
        <w:rPr>
          <w:rFonts w:hint="eastAsia" w:ascii="宋体" w:hAnsi="宋体"/>
          <w:kern w:val="0"/>
          <w:sz w:val="24"/>
        </w:rPr>
      </w:pPr>
      <w:r>
        <w:rPr>
          <w:rFonts w:hint="eastAsia" w:ascii="宋体" w:hAnsi="宋体"/>
          <w:kern w:val="0"/>
          <w:sz w:val="24"/>
        </w:rPr>
        <w:t>年    月    日</w:t>
      </w:r>
      <w:r>
        <w:rPr>
          <w:rFonts w:hint="eastAsia" w:ascii="宋体" w:hAnsi="宋体"/>
          <w:kern w:val="0"/>
          <w:sz w:val="24"/>
        </w:rPr>
        <w:tab/>
      </w:r>
      <w:r>
        <w:rPr>
          <w:rFonts w:hint="eastAsia" w:ascii="宋体" w:hAnsi="宋体"/>
          <w:kern w:val="0"/>
          <w:sz w:val="24"/>
        </w:rPr>
        <w:t xml:space="preserve">    年    月    日</w:t>
      </w:r>
      <w:r>
        <w:rPr>
          <w:rFonts w:hint="eastAsia" w:ascii="宋体" w:hAnsi="宋体"/>
          <w:kern w:val="0"/>
          <w:sz w:val="24"/>
        </w:rPr>
        <w:tab/>
      </w:r>
      <w:r>
        <w:rPr>
          <w:rFonts w:hint="eastAsia" w:ascii="宋体" w:hAnsi="宋体"/>
          <w:kern w:val="0"/>
          <w:sz w:val="24"/>
        </w:rPr>
        <w:t xml:space="preserve">    年    月    日</w:t>
      </w:r>
    </w:p>
    <w:p>
      <w:pPr>
        <w:widowControl/>
        <w:tabs>
          <w:tab w:val="left" w:pos="2977"/>
          <w:tab w:val="left" w:pos="5954"/>
        </w:tabs>
        <w:spacing w:line="520" w:lineRule="exact"/>
        <w:ind w:firstLine="465"/>
        <w:jc w:val="left"/>
        <w:rPr>
          <w:rFonts w:ascii="宋体" w:hAnsi="宋体"/>
          <w:kern w:val="0"/>
          <w:sz w:val="24"/>
        </w:rPr>
      </w:pPr>
    </w:p>
    <w:p>
      <w:pPr>
        <w:spacing w:line="520" w:lineRule="exact"/>
        <w:ind w:left="708" w:hanging="708" w:hangingChars="294"/>
        <w:rPr>
          <w:rFonts w:hint="eastAsia" w:ascii="宋体" w:hAnsi="宋体"/>
          <w:b/>
          <w:sz w:val="24"/>
        </w:rPr>
      </w:pPr>
      <w:r>
        <w:rPr>
          <w:rFonts w:hint="eastAsia" w:ascii="宋体" w:hAnsi="宋体"/>
          <w:b/>
          <w:sz w:val="24"/>
        </w:rPr>
        <w:t>特别说明：</w:t>
      </w:r>
    </w:p>
    <w:p>
      <w:pPr>
        <w:spacing w:line="520" w:lineRule="exact"/>
        <w:ind w:left="701" w:leftChars="228" w:hanging="222" w:hangingChars="92"/>
        <w:rPr>
          <w:rFonts w:ascii="宋体" w:hAnsi="宋体"/>
          <w:b/>
          <w:bCs/>
          <w:sz w:val="24"/>
        </w:rPr>
      </w:pPr>
      <w:r>
        <w:rPr>
          <w:rFonts w:hint="eastAsia" w:ascii="宋体" w:hAnsi="宋体"/>
          <w:b/>
          <w:bCs/>
          <w:sz w:val="24"/>
        </w:rPr>
        <w:t>1．联合投标时需签本协议，联合体各方成员应在本协议上共同盖章确认。</w:t>
      </w:r>
    </w:p>
    <w:p>
      <w:pPr>
        <w:spacing w:line="520" w:lineRule="exact"/>
        <w:ind w:left="840" w:leftChars="228" w:hanging="361" w:hangingChars="150"/>
        <w:rPr>
          <w:rFonts w:hint="eastAsia" w:ascii="宋体" w:hAnsi="宋体"/>
          <w:b/>
          <w:bCs/>
          <w:sz w:val="24"/>
        </w:rPr>
      </w:pPr>
      <w:r>
        <w:rPr>
          <w:rFonts w:hint="eastAsia" w:ascii="宋体" w:hAnsi="宋体"/>
          <w:b/>
          <w:bCs/>
          <w:sz w:val="24"/>
        </w:rPr>
        <w:t>2．本协议内容为参考格式，</w:t>
      </w:r>
      <w:r>
        <w:rPr>
          <w:rFonts w:hint="eastAsia"/>
          <w:b/>
          <w:bCs/>
          <w:sz w:val="24"/>
          <w:lang w:eastAsia="zh-CN"/>
        </w:rPr>
        <w:t>供应商</w:t>
      </w:r>
      <w:r>
        <w:rPr>
          <w:rFonts w:hint="eastAsia" w:ascii="宋体" w:hAnsi="宋体"/>
          <w:b/>
          <w:bCs/>
          <w:sz w:val="24"/>
        </w:rPr>
        <w:t>组成联合体投标时可以细化，但不得低于本参考格式要求。</w:t>
      </w:r>
    </w:p>
    <w:p>
      <w:pPr>
        <w:pStyle w:val="4"/>
        <w:spacing w:before="0" w:after="0" w:line="480" w:lineRule="exact"/>
        <w:ind w:left="1132" w:hanging="1504" w:hangingChars="470"/>
        <w:jc w:val="center"/>
        <w:outlineLvl w:val="1"/>
        <w:rPr>
          <w:rFonts w:hAnsi="宋体"/>
        </w:rPr>
      </w:pPr>
      <w:r>
        <w:rPr>
          <w:rFonts w:hint="eastAsia" w:hAnsi="宋体"/>
        </w:rPr>
        <w:br w:type="page"/>
      </w:r>
      <w:bookmarkStart w:id="346" w:name="_Toc23525"/>
      <w:bookmarkStart w:id="347" w:name="_Toc20694"/>
      <w:bookmarkStart w:id="348" w:name="_Toc24364"/>
      <w:r>
        <w:rPr>
          <w:rFonts w:hint="eastAsia" w:asciiTheme="minorEastAsia" w:hAnsiTheme="minorEastAsia" w:eastAsiaTheme="minorEastAsia" w:cstheme="minorEastAsia"/>
          <w:bCs w:val="0"/>
          <w:szCs w:val="24"/>
        </w:rPr>
        <w:t>（</w:t>
      </w:r>
      <w:r>
        <w:rPr>
          <w:rFonts w:hint="eastAsia" w:asciiTheme="minorEastAsia" w:hAnsiTheme="minorEastAsia" w:eastAsiaTheme="minorEastAsia" w:cstheme="minorEastAsia"/>
          <w:bCs w:val="0"/>
          <w:szCs w:val="24"/>
          <w:lang w:val="en-US" w:eastAsia="zh-CN"/>
        </w:rPr>
        <w:t>六</w:t>
      </w:r>
      <w:r>
        <w:rPr>
          <w:rFonts w:hint="eastAsia" w:asciiTheme="minorEastAsia" w:hAnsiTheme="minorEastAsia" w:eastAsiaTheme="minorEastAsia" w:cstheme="minorEastAsia"/>
          <w:bCs w:val="0"/>
          <w:szCs w:val="24"/>
        </w:rPr>
        <w:t>）廉政保证书（格式）</w:t>
      </w:r>
      <w:bookmarkEnd w:id="346"/>
      <w:bookmarkEnd w:id="347"/>
      <w:bookmarkEnd w:id="348"/>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为防止在招标活动中发生违纪违法事件的发生，我方做如下保证：</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一、保证严格遵守国家法律和廉政建设有关规定，并积极配合招标人认真遵守和执行廉政建设方面的各项制度和规定；</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二、保证不发生通过不正当竞争手段而中标的问题；</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三、保证严禁以各种名义向招标人行贿、提供回扣或其他好处费及赠送礼品、现金或有价证券；</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四、保证严禁邀请招标人人员参加对执行公务有影响的娱乐活动和宴请；</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五、保证不给招标人人员报销应由个人支付的费用；</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六、保证及时报告招标人人员有不廉政的暗示或行为；</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七、保证在中标后，严格履行合同，信守承诺。</w:t>
      </w:r>
    </w:p>
    <w:p>
      <w:pPr>
        <w:widowControl/>
        <w:adjustRightInd w:val="0"/>
        <w:snapToGrid w:val="0"/>
        <w:spacing w:line="360" w:lineRule="auto"/>
        <w:ind w:firstLine="480" w:firstLineChars="200"/>
        <w:rPr>
          <w:rFonts w:ascii="宋体" w:hAnsi="宋体" w:cs="宋体"/>
          <w:sz w:val="24"/>
        </w:rPr>
      </w:pPr>
      <w:r>
        <w:rPr>
          <w:rFonts w:hint="eastAsia" w:ascii="宋体" w:hAnsi="宋体" w:cs="宋体"/>
          <w:sz w:val="24"/>
        </w:rPr>
        <w:t>八、若在招标活动中，我方发生违反上述保证时，招标人有权取消我方投标资格，并接受招标人给予的经济处罚；招标人有权向有关部门反映，造成的损失由我方承担。</w:t>
      </w:r>
    </w:p>
    <w:p>
      <w:pPr>
        <w:widowControl/>
        <w:adjustRightInd w:val="0"/>
        <w:snapToGrid w:val="0"/>
        <w:spacing w:line="360" w:lineRule="auto"/>
        <w:ind w:firstLine="240" w:firstLineChars="100"/>
        <w:rPr>
          <w:rFonts w:ascii="宋体" w:hAnsi="宋体" w:cs="宋体"/>
          <w:sz w:val="24"/>
        </w:rPr>
      </w:pPr>
    </w:p>
    <w:p>
      <w:pPr>
        <w:widowControl/>
        <w:adjustRightInd w:val="0"/>
        <w:snapToGrid w:val="0"/>
        <w:spacing w:line="360" w:lineRule="auto"/>
        <w:ind w:firstLine="240" w:firstLineChars="100"/>
        <w:rPr>
          <w:rFonts w:ascii="宋体" w:hAnsi="宋体" w:cs="宋体"/>
          <w:sz w:val="24"/>
        </w:rPr>
      </w:pPr>
    </w:p>
    <w:p>
      <w:pPr>
        <w:spacing w:line="360" w:lineRule="auto"/>
        <w:ind w:firstLine="4320" w:firstLineChars="1800"/>
        <w:rPr>
          <w:rFonts w:ascii="宋体" w:hAnsi="宋体" w:cs="宋体"/>
          <w:sz w:val="24"/>
        </w:rPr>
      </w:pPr>
      <w:r>
        <w:rPr>
          <w:rFonts w:hint="eastAsia" w:ascii="宋体" w:hAnsi="宋体" w:cs="宋体"/>
          <w:sz w:val="24"/>
        </w:rPr>
        <w:t>供 应 商：（名称）（盖章）</w:t>
      </w:r>
    </w:p>
    <w:p>
      <w:pPr>
        <w:spacing w:line="360" w:lineRule="auto"/>
        <w:ind w:firstLine="4320" w:firstLineChars="1800"/>
        <w:rPr>
          <w:rFonts w:ascii="宋体" w:hAnsi="宋体" w:cs="宋体"/>
          <w:sz w:val="24"/>
        </w:rPr>
      </w:pPr>
      <w:r>
        <w:rPr>
          <w:rFonts w:hint="eastAsia" w:ascii="宋体" w:hAnsi="宋体" w:cs="宋体"/>
          <w:sz w:val="24"/>
        </w:rPr>
        <w:t>法定代表人（或委托代理人）：（签字）</w:t>
      </w:r>
    </w:p>
    <w:p>
      <w:pPr>
        <w:spacing w:line="360" w:lineRule="auto"/>
        <w:ind w:firstLine="4320" w:firstLineChars="1800"/>
        <w:rPr>
          <w:rFonts w:ascii="宋体" w:hAnsi="宋体" w:cs="宋体"/>
          <w:sz w:val="24"/>
        </w:rPr>
      </w:pPr>
      <w:r>
        <w:rPr>
          <w:rFonts w:hint="eastAsia" w:ascii="宋体" w:hAnsi="宋体" w:cs="宋体"/>
          <w:sz w:val="24"/>
        </w:rPr>
        <w:t>签署时间：       年    月     日</w:t>
      </w:r>
    </w:p>
    <w:bookmarkEnd w:id="341"/>
    <w:bookmarkEnd w:id="342"/>
    <w:p>
      <w:pPr>
        <w:spacing w:line="480" w:lineRule="exact"/>
      </w:pPr>
    </w:p>
    <w:p>
      <w:pPr>
        <w:spacing w:line="360" w:lineRule="auto"/>
        <w:rPr>
          <w:rFonts w:asciiTheme="minorEastAsia" w:hAnsiTheme="minorEastAsia" w:eastAsiaTheme="minorEastAsia" w:cstheme="minorEastAsia"/>
        </w:rPr>
      </w:pPr>
    </w:p>
    <w:sectPr>
      <w:headerReference r:id="rId14" w:type="default"/>
      <w:footerReference r:id="rId15" w:type="default"/>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Futura Bk">
    <w:altName w:val="Courier New"/>
    <w:panose1 w:val="00000000000000000000"/>
    <w:charset w:val="00"/>
    <w:family w:val="swiss"/>
    <w:pitch w:val="default"/>
    <w:sig w:usb0="00000000" w:usb1="00000000" w:usb2="00000000" w:usb3="00000000" w:csb0="0000009F" w:csb1="00000000"/>
  </w:font>
  <w:font w:name="楷体_GB2312">
    <w:altName w:val="楷体"/>
    <w:panose1 w:val="00000000000000000000"/>
    <w:charset w:val="86"/>
    <w:family w:val="moder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MS UI Gothic">
    <w:panose1 w:val="020B0600070205080204"/>
    <w:charset w:val="80"/>
    <w:family w:val="swiss"/>
    <w:pitch w:val="default"/>
    <w:sig w:usb0="E00002FF" w:usb1="6AC7FDFB" w:usb2="08000012" w:usb3="00000000" w:csb0="4002009F" w:csb1="DFD70000"/>
  </w:font>
  <w:font w:name="Helvetica">
    <w:altName w:val="Arial"/>
    <w:panose1 w:val="020B0604020202020204"/>
    <w:charset w:val="00"/>
    <w:family w:val="swiss"/>
    <w:pitch w:val="default"/>
    <w:sig w:usb0="00000000" w:usb1="00000000" w:usb2="00000000" w:usb3="00000000" w:csb0="00000093"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jc w:val="right"/>
      <w:rPr>
        <w:rFonts w:ascii="宋体" w:hAnsi="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6</w:t>
                    </w:r>
                    <w:r>
                      <w:fldChar w:fldCharType="end"/>
                    </w:r>
                  </w:p>
                </w:txbxContent>
              </v:textbox>
            </v:shape>
          </w:pict>
        </mc:Fallback>
      </mc:AlternateContent>
    </w:r>
    <w:r>
      <w:rPr>
        <w:rFonts w:hint="eastAsia"/>
        <w:sz w:val="18"/>
      </w:rPr>
      <w:t>湖北中楚建设工程咨询有限公司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1"/>
      </w:pBdr>
      <w:adjustRightInd w:val="0"/>
      <w:snapToGrid w:val="0"/>
      <w:jc w:val="right"/>
      <w:rPr>
        <w:rFonts w:ascii="宋体" w:hAnsi="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35</w:t>
                    </w:r>
                    <w:r>
                      <w:fldChar w:fldCharType="end"/>
                    </w:r>
                  </w:p>
                </w:txbxContent>
              </v:textbox>
            </v:shape>
          </w:pict>
        </mc:Fallback>
      </mc:AlternateContent>
    </w:r>
    <w:r>
      <w:rPr>
        <w:rFonts w:hint="eastAsia"/>
        <w:sz w:val="18"/>
      </w:rPr>
      <w:t>湖北中楚建设工程咨询</w:t>
    </w:r>
    <w:r>
      <w:rPr>
        <w:rFonts w:hint="eastAsia" w:ascii="宋体" w:hAnsi="宋体"/>
        <w:sz w:val="18"/>
        <w:szCs w:val="18"/>
      </w:rPr>
      <w:t>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pPr>
    <w:r>
      <mc:AlternateContent>
        <mc:Choice Requires="wps">
          <w:drawing>
            <wp:anchor distT="0" distB="0" distL="114300" distR="114300" simplePos="0" relativeHeight="251659264" behindDoc="0" locked="0" layoutInCell="1" allowOverlap="1">
              <wp:simplePos x="0" y="0"/>
              <wp:positionH relativeFrom="column">
                <wp:posOffset>17780</wp:posOffset>
              </wp:positionH>
              <wp:positionV relativeFrom="paragraph">
                <wp:posOffset>-67310</wp:posOffset>
              </wp:positionV>
              <wp:extent cx="5969000" cy="10160"/>
              <wp:effectExtent l="0" t="4445" r="3175" b="13970"/>
              <wp:wrapNone/>
              <wp:docPr id="5" name="直接连接符 5"/>
              <wp:cNvGraphicFramePr/>
              <a:graphic xmlns:a="http://schemas.openxmlformats.org/drawingml/2006/main">
                <a:graphicData uri="http://schemas.microsoft.com/office/word/2010/wordprocessingShape">
                  <wps:wsp>
                    <wps:cNvCnPr/>
                    <wps:spPr>
                      <a:xfrm>
                        <a:off x="845820" y="9788525"/>
                        <a:ext cx="5969000" cy="10160"/>
                      </a:xfrm>
                      <a:prstGeom prst="line">
                        <a:avLst/>
                      </a:prstGeom>
                      <a:noFill/>
                      <a:ln w="9525"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1.4pt;margin-top:-5.3pt;height:0.8pt;width:470pt;z-index:251659264;mso-width-relative:page;mso-height-relative:page;" filled="f" stroked="t" coordsize="21600,21600" o:gfxdata="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1PE69UAAAAIAQAADwAAAAAAAAABACAAAAAiAAAAZHJz&#10;L2Rvd25yZXYueG1sUEsBAhQAFAAAAAgAh07iQI5nsiQHAgAA8AMAAA4AAAAAAAAAAQAgAAAAJAEA&#10;AGRycy9lMm9Eb2MueG1sUEsFBgAAAAAGAAYAWQEAAJ0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40</w:t>
                    </w:r>
                    <w:r>
                      <w:fldChar w:fldCharType="end"/>
                    </w:r>
                  </w:p>
                </w:txbxContent>
              </v:textbox>
            </v:shape>
          </w:pict>
        </mc:Fallback>
      </mc:AlternateContent>
    </w:r>
    <w:r>
      <w:rPr>
        <w:rFonts w:hint="eastAsia" w:ascii="宋体" w:hAnsi="宋体" w:cs="仿宋"/>
      </w:rPr>
      <w:t>湖北中楚建设工程咨询有限公司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top w:val="single" w:color="auto" w:sz="4" w:space="1"/>
      </w:pBdr>
      <w:tabs>
        <w:tab w:val="center" w:pos="4734"/>
        <w:tab w:val="right" w:pos="9588"/>
      </w:tabs>
      <w:jc w:val="right"/>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8PUr4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8PUr4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46</w:t>
                    </w:r>
                    <w:r>
                      <w:fldChar w:fldCharType="end"/>
                    </w:r>
                  </w:p>
                </w:txbxContent>
              </v:textbox>
            </v:shape>
          </w:pict>
        </mc:Fallback>
      </mc:AlternateContent>
    </w:r>
    <w:r>
      <w:rPr>
        <w:rFonts w:hint="eastAsia"/>
        <w:sz w:val="21"/>
      </w:rPr>
      <w:t xml:space="preserve"> </w:t>
    </w:r>
    <w:r>
      <w:rPr>
        <w:rFonts w:hint="eastAsia"/>
        <w:szCs w:val="15"/>
      </w:rPr>
      <w:t>湖北中楚建设工程咨询有限公司</w:t>
    </w:r>
  </w:p>
  <w:p>
    <w:pPr>
      <w:pStyle w:val="2"/>
      <w:spacing w:line="14" w:lineRule="auto"/>
      <w:rPr>
        <w:sz w:val="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top w:val="single" w:color="auto" w:sz="4" w:space="1"/>
      </w:pBdr>
      <w:jc w:val="right"/>
      <w:rPr>
        <w:rFonts w:ascii="仿宋" w:hAnsi="仿宋" w:eastAsia="仿宋" w:cs="仿宋"/>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58</w:t>
                    </w:r>
                    <w:r>
                      <w:fldChar w:fldCharType="end"/>
                    </w:r>
                  </w:p>
                </w:txbxContent>
              </v:textbox>
            </v:shape>
          </w:pict>
        </mc:Fallback>
      </mc:AlternateContent>
    </w:r>
    <w:r>
      <w:rPr>
        <w:rFonts w:hint="eastAsia" w:ascii="宋体" w:hAnsi="宋体" w:cs="仿宋"/>
      </w:rPr>
      <w:t>湖北中楚建设工程咨询有限公司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rFonts w:hint="default" w:eastAsia="宋体"/>
        <w:lang w:val="en-US" w:eastAsia="zh-CN"/>
      </w:rPr>
    </w:pPr>
    <w:r>
      <w:rPr>
        <w:rFonts w:hint="eastAsia" w:ascii="宋体" w:hAnsi="宋体" w:cs="宋体"/>
        <w:sz w:val="20"/>
        <w:szCs w:val="20"/>
        <w:lang w:val="en-US" w:eastAsia="zh-CN"/>
      </w:rPr>
      <w:t>谌家矶片区明渠维护第三方服务</w:t>
    </w:r>
    <w:r>
      <w:rPr>
        <w:rFonts w:hint="eastAsia" w:ascii="宋体" w:hAnsi="宋体" w:cs="宋体"/>
        <w:sz w:val="20"/>
        <w:szCs w:val="20"/>
      </w:rPr>
      <w:t xml:space="preserve">     </w:t>
    </w:r>
    <w:r>
      <w:rPr>
        <w:rFonts w:hint="eastAsia"/>
        <w:sz w:val="20"/>
        <w:szCs w:val="15"/>
      </w:rPr>
      <w:t xml:space="preserve">                      </w:t>
    </w:r>
    <w:r>
      <w:rPr>
        <w:rFonts w:hint="eastAsia"/>
        <w:sz w:val="20"/>
        <w:szCs w:val="15"/>
        <w:lang w:val="en-US" w:eastAsia="zh-CN"/>
      </w:rPr>
      <w:t xml:space="preserve">                  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u w:val="single"/>
      </w:rPr>
    </w:pPr>
    <w:r>
      <w:rPr>
        <w:rFonts w:hint="eastAsia" w:ascii="宋体" w:hAnsi="宋体"/>
        <w:sz w:val="20"/>
        <w:szCs w:val="20"/>
        <w:lang w:val="en-US" w:eastAsia="zh-CN"/>
      </w:rPr>
      <w:t>谌家矶片区明渠维护第三方服务</w:t>
    </w:r>
    <w:r>
      <w:rPr>
        <w:rFonts w:hint="eastAsia" w:ascii="宋体" w:hAnsi="宋体"/>
      </w:rPr>
      <w:t xml:space="preserve">     </w:t>
    </w:r>
    <w:r>
      <w:rPr>
        <w:rFonts w:hint="eastAsia"/>
        <w:sz w:val="20"/>
        <w:szCs w:val="15"/>
      </w:rPr>
      <w:t xml:space="preserve">                     </w:t>
    </w:r>
    <w:r>
      <w:rPr>
        <w:rFonts w:hint="eastAsia" w:ascii="宋体" w:hAnsi="宋体" w:cs="宋体"/>
        <w:sz w:val="20"/>
        <w:szCs w:val="20"/>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1"/>
      </w:pBdr>
      <w:jc w:val="both"/>
      <w:rPr>
        <w:rFonts w:hint="default" w:eastAsia="宋体"/>
        <w:u w:val="single"/>
        <w:lang w:val="en-US" w:eastAsia="zh-CN"/>
      </w:rPr>
    </w:pPr>
    <w:r>
      <w:rPr>
        <w:rFonts w:hint="eastAsia" w:ascii="宋体" w:hAnsi="宋体"/>
        <w:sz w:val="20"/>
        <w:szCs w:val="20"/>
        <w:lang w:val="en-US" w:eastAsia="zh-CN"/>
      </w:rPr>
      <w:t>谌家矶片区明渠维护第三方服务</w:t>
    </w:r>
    <w:r>
      <w:rPr>
        <w:rFonts w:hint="eastAsia" w:ascii="宋体" w:hAnsi="宋体"/>
      </w:rPr>
      <w:t xml:space="preserve">     </w:t>
    </w:r>
    <w:r>
      <w:rPr>
        <w:rFonts w:hint="eastAsia"/>
        <w:sz w:val="20"/>
        <w:szCs w:val="15"/>
      </w:rPr>
      <w:t xml:space="preserve">                                </w:t>
    </w:r>
    <w:r>
      <w:rPr>
        <w:rFonts w:hint="eastAsia"/>
        <w:sz w:val="20"/>
        <w:szCs w:val="15"/>
        <w:lang w:val="en-US" w:eastAsia="zh-CN"/>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left"/>
      <w:rPr>
        <w:rFonts w:ascii="宋体" w:hAnsi="宋体"/>
      </w:rPr>
    </w:pPr>
    <w:r>
      <w:rPr>
        <w:rFonts w:hint="eastAsia" w:ascii="宋体" w:hAnsi="宋体"/>
        <w:sz w:val="20"/>
        <w:szCs w:val="20"/>
        <w:lang w:val="en-US" w:eastAsia="zh-CN"/>
      </w:rPr>
      <w:t>谌家矶片区明渠维护第三方服务</w:t>
    </w:r>
    <w:r>
      <w:rPr>
        <w:rFonts w:hint="eastAsia" w:ascii="宋体" w:hAnsi="宋体"/>
      </w:rPr>
      <w:t xml:space="preserve">     </w:t>
    </w:r>
    <w:r>
      <w:rPr>
        <w:rFonts w:hint="eastAsia"/>
        <w:sz w:val="20"/>
        <w:szCs w:val="15"/>
      </w:rPr>
      <w:t xml:space="preserve">                    </w:t>
    </w:r>
    <w:r>
      <w:rPr>
        <w:rFonts w:hint="eastAsia"/>
        <w:sz w:val="20"/>
        <w:szCs w:val="15"/>
        <w:lang w:val="en-US" w:eastAsia="zh-CN"/>
      </w:rPr>
      <w:t xml:space="preserve">            </w:t>
    </w:r>
    <w:r>
      <w:rPr>
        <w:rFonts w:hint="eastAsia" w:ascii="宋体" w:hAnsi="宋体" w:cs="宋体"/>
        <w:sz w:val="20"/>
        <w:szCs w:val="20"/>
      </w:rPr>
      <w:t>竞争性磋商文件</w:t>
    </w:r>
    <w:r>
      <w:rPr>
        <w:rFonts w:hint="eastAsia" w:ascii="宋体" w:hAnsi="宋体"/>
      </w:rPr>
      <w:t xml:space="preserve"> </w:t>
    </w:r>
    <w:r>
      <w:rPr>
        <w:rFonts w:hint="eastAsia"/>
      </w:rPr>
      <w:t xml:space="preserve">                                                   </w:t>
    </w:r>
    <w:r>
      <w:rPr>
        <w:rFonts w:hint="eastAsia" w:ascii="宋体" w:hAnsi="宋体"/>
        <w:b/>
      </w:rPr>
      <w:t xml:space="preserve"> </w:t>
    </w:r>
    <w:r>
      <w:rPr>
        <w:rFonts w:hint="eastAsia"/>
      </w:rPr>
      <w:t xml:space="preserve">                                                  </w:t>
    </w:r>
    <w:r>
      <w:rPr>
        <w:rFonts w:hint="eastAsia" w:ascii="宋体" w:hAnsi="宋体"/>
        <w:b/>
      </w:rPr>
      <w:t xml:space="preserve">                                        </w:t>
    </w:r>
    <w:r>
      <w:rPr>
        <w:rFonts w:hint="eastAsia" w:ascii="宋体" w:hAnsi="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B9F7C3"/>
    <w:multiLevelType w:val="singleLevel"/>
    <w:tmpl w:val="F2B9F7C3"/>
    <w:lvl w:ilvl="0" w:tentative="0">
      <w:start w:val="1"/>
      <w:numFmt w:val="chineseCounting"/>
      <w:suff w:val="space"/>
      <w:lvlText w:val="第%1章"/>
      <w:lvlJc w:val="left"/>
      <w:rPr>
        <w:rFonts w:hint="eastAsia"/>
      </w:rPr>
    </w:lvl>
  </w:abstractNum>
  <w:abstractNum w:abstractNumId="1">
    <w:nsid w:val="FFA67754"/>
    <w:multiLevelType w:val="singleLevel"/>
    <w:tmpl w:val="FFA67754"/>
    <w:lvl w:ilvl="0" w:tentative="0">
      <w:start w:val="3"/>
      <w:numFmt w:val="decimal"/>
      <w:suff w:val="nothing"/>
      <w:lvlText w:val="%1、"/>
      <w:lvlJc w:val="left"/>
    </w:lvl>
  </w:abstractNum>
  <w:abstractNum w:abstractNumId="2">
    <w:nsid w:val="0C2D483C"/>
    <w:multiLevelType w:val="multilevel"/>
    <w:tmpl w:val="0C2D483C"/>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japaneseCounting"/>
      <w:lvlText w:val="%3、"/>
      <w:lvlJc w:val="left"/>
      <w:pPr>
        <w:tabs>
          <w:tab w:val="left" w:pos="1560"/>
        </w:tabs>
        <w:ind w:left="1560" w:hanging="360"/>
      </w:pPr>
      <w:rPr>
        <w:rFonts w:hint="eastAsia"/>
      </w:rPr>
    </w:lvl>
    <w:lvl w:ilvl="3" w:tentative="0">
      <w:start w:val="1"/>
      <w:numFmt w:val="decimal"/>
      <w:lvlText w:val="%4."/>
      <w:lvlJc w:val="left"/>
      <w:pPr>
        <w:tabs>
          <w:tab w:val="left" w:pos="2040"/>
        </w:tabs>
        <w:ind w:left="2040" w:hanging="420"/>
      </w:pPr>
    </w:lvl>
    <w:lvl w:ilvl="4" w:tentative="0">
      <w:start w:val="1"/>
      <w:numFmt w:val="decimal"/>
      <w:lvlText w:val="（%5）"/>
      <w:lvlJc w:val="left"/>
      <w:pPr>
        <w:tabs>
          <w:tab w:val="left" w:pos="2760"/>
        </w:tabs>
        <w:ind w:left="2760" w:hanging="720"/>
      </w:pPr>
      <w:rPr>
        <w:rFonts w:hint="eastAsia"/>
      </w:r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
    <w:nsid w:val="118D7FF0"/>
    <w:multiLevelType w:val="multilevel"/>
    <w:tmpl w:val="118D7FF0"/>
    <w:lvl w:ilvl="0" w:tentative="0">
      <w:start w:val="1"/>
      <w:numFmt w:val="chineseCountingThousand"/>
      <w:lvlText w:val="%1、"/>
      <w:lvlJc w:val="left"/>
      <w:pPr>
        <w:tabs>
          <w:tab w:val="left" w:pos="425"/>
        </w:tabs>
        <w:ind w:left="425" w:firstLine="0"/>
      </w:pPr>
      <w:rPr>
        <w:rFonts w:hint="default"/>
      </w:rPr>
    </w:lvl>
    <w:lvl w:ilvl="1" w:tentative="0">
      <w:start w:val="1"/>
      <w:numFmt w:val="japaneseCounting"/>
      <w:lvlText w:val="%2、"/>
      <w:lvlJc w:val="left"/>
      <w:pPr>
        <w:tabs>
          <w:tab w:val="left" w:pos="840"/>
        </w:tabs>
        <w:ind w:left="840" w:hanging="420"/>
      </w:pPr>
      <w:rPr>
        <w:rFonts w:hint="default"/>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040"/>
        </w:tabs>
        <w:ind w:left="2040" w:hanging="360"/>
      </w:pPr>
      <w:rPr>
        <w:rFonts w:hint="default"/>
      </w:rPr>
    </w:lvl>
    <w:lvl w:ilvl="5" w:tentative="0">
      <w:start w:val="1"/>
      <w:numFmt w:val="lowerLetter"/>
      <w:lvlText w:val="%6）"/>
      <w:lvlJc w:val="left"/>
      <w:pPr>
        <w:tabs>
          <w:tab w:val="left" w:pos="2460"/>
        </w:tabs>
        <w:ind w:left="2460" w:hanging="360"/>
      </w:pPr>
      <w:rPr>
        <w:rFonts w:hint="default" w:ascii="宋体" w:hAnsi="宋体"/>
      </w:r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C8005C7"/>
    <w:multiLevelType w:val="multilevel"/>
    <w:tmpl w:val="1C8005C7"/>
    <w:lvl w:ilvl="0" w:tentative="0">
      <w:start w:val="1"/>
      <w:numFmt w:val="decimal"/>
      <w:lvlText w:val="%1、"/>
      <w:lvlJc w:val="left"/>
      <w:pPr>
        <w:tabs>
          <w:tab w:val="left" w:pos="540"/>
        </w:tabs>
        <w:ind w:left="540" w:hanging="360"/>
      </w:pPr>
      <w:rPr>
        <w:rFonts w:hint="default"/>
        <w:b/>
      </w:rPr>
    </w:lvl>
    <w:lvl w:ilvl="1" w:tentative="0">
      <w:start w:val="1"/>
      <w:numFmt w:val="decimal"/>
      <w:lvlText w:val="（%2）"/>
      <w:lvlJc w:val="left"/>
      <w:pPr>
        <w:tabs>
          <w:tab w:val="left" w:pos="1094"/>
        </w:tabs>
        <w:ind w:left="1094" w:hanging="674"/>
      </w:pPr>
      <w:rPr>
        <w:rFonts w:hint="default"/>
      </w:rPr>
    </w:lvl>
    <w:lvl w:ilvl="2" w:tentative="0">
      <w:start w:val="1"/>
      <w:numFmt w:val="lowerLetter"/>
      <w:lvlText w:val="%3）"/>
      <w:lvlJc w:val="left"/>
      <w:pPr>
        <w:tabs>
          <w:tab w:val="left" w:pos="1620"/>
        </w:tabs>
        <w:ind w:left="1620" w:hanging="360"/>
      </w:pPr>
      <w:rPr>
        <w:rFonts w:hint="default"/>
        <w:b w:val="0"/>
      </w:rPr>
    </w:lvl>
    <w:lvl w:ilvl="3" w:tentative="0">
      <w:start w:val="1"/>
      <w:numFmt w:val="decimal"/>
      <w:lvlText w:val="%4）"/>
      <w:lvlJc w:val="left"/>
      <w:pPr>
        <w:tabs>
          <w:tab w:val="left" w:pos="2040"/>
        </w:tabs>
        <w:ind w:left="2040" w:hanging="360"/>
      </w:pPr>
      <w:rPr>
        <w:rFonts w:hint="default"/>
      </w:rPr>
    </w:lvl>
    <w:lvl w:ilvl="4" w:tentative="0">
      <w:start w:val="1"/>
      <w:numFmt w:val="decimal"/>
      <w:lvlText w:val="%5."/>
      <w:lvlJc w:val="left"/>
      <w:pPr>
        <w:tabs>
          <w:tab w:val="left" w:pos="2460"/>
        </w:tabs>
        <w:ind w:left="2460" w:hanging="360"/>
      </w:pPr>
      <w:rPr>
        <w:rFonts w:hint="default"/>
        <w:b/>
        <w:sz w:val="24"/>
        <w:szCs w:val="24"/>
      </w:r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322D85CA"/>
    <w:multiLevelType w:val="multilevel"/>
    <w:tmpl w:val="322D85CA"/>
    <w:lvl w:ilvl="0" w:tentative="0">
      <w:start w:val="1"/>
      <w:numFmt w:val="decimal"/>
      <w:lvlText w:val="%1."/>
      <w:lvlJc w:val="left"/>
      <w:pPr>
        <w:ind w:left="931" w:hanging="241"/>
        <w:jc w:val="left"/>
      </w:pPr>
      <w:rPr>
        <w:rFonts w:hint="default" w:ascii="宋体" w:hAnsi="宋体" w:eastAsia="宋体" w:cs="宋体"/>
        <w:w w:val="100"/>
        <w:sz w:val="22"/>
        <w:szCs w:val="22"/>
        <w:lang w:val="zh-CN" w:eastAsia="zh-CN" w:bidi="zh-CN"/>
      </w:rPr>
    </w:lvl>
    <w:lvl w:ilvl="1" w:tentative="0">
      <w:start w:val="0"/>
      <w:numFmt w:val="bullet"/>
      <w:lvlText w:val="•"/>
      <w:lvlJc w:val="left"/>
      <w:pPr>
        <w:ind w:left="1938" w:hanging="241"/>
      </w:pPr>
      <w:rPr>
        <w:rFonts w:hint="default"/>
        <w:lang w:val="zh-CN" w:eastAsia="zh-CN" w:bidi="zh-CN"/>
      </w:rPr>
    </w:lvl>
    <w:lvl w:ilvl="2" w:tentative="0">
      <w:start w:val="0"/>
      <w:numFmt w:val="bullet"/>
      <w:lvlText w:val="•"/>
      <w:lvlJc w:val="left"/>
      <w:pPr>
        <w:ind w:left="2937" w:hanging="241"/>
      </w:pPr>
      <w:rPr>
        <w:rFonts w:hint="default"/>
        <w:lang w:val="zh-CN" w:eastAsia="zh-CN" w:bidi="zh-CN"/>
      </w:rPr>
    </w:lvl>
    <w:lvl w:ilvl="3" w:tentative="0">
      <w:start w:val="0"/>
      <w:numFmt w:val="bullet"/>
      <w:lvlText w:val="•"/>
      <w:lvlJc w:val="left"/>
      <w:pPr>
        <w:ind w:left="3935" w:hanging="241"/>
      </w:pPr>
      <w:rPr>
        <w:rFonts w:hint="default"/>
        <w:lang w:val="zh-CN" w:eastAsia="zh-CN" w:bidi="zh-CN"/>
      </w:rPr>
    </w:lvl>
    <w:lvl w:ilvl="4" w:tentative="0">
      <w:start w:val="0"/>
      <w:numFmt w:val="bullet"/>
      <w:lvlText w:val="•"/>
      <w:lvlJc w:val="left"/>
      <w:pPr>
        <w:ind w:left="4934" w:hanging="241"/>
      </w:pPr>
      <w:rPr>
        <w:rFonts w:hint="default"/>
        <w:lang w:val="zh-CN" w:eastAsia="zh-CN" w:bidi="zh-CN"/>
      </w:rPr>
    </w:lvl>
    <w:lvl w:ilvl="5" w:tentative="0">
      <w:start w:val="0"/>
      <w:numFmt w:val="bullet"/>
      <w:lvlText w:val="•"/>
      <w:lvlJc w:val="left"/>
      <w:pPr>
        <w:ind w:left="5933" w:hanging="241"/>
      </w:pPr>
      <w:rPr>
        <w:rFonts w:hint="default"/>
        <w:lang w:val="zh-CN" w:eastAsia="zh-CN" w:bidi="zh-CN"/>
      </w:rPr>
    </w:lvl>
    <w:lvl w:ilvl="6" w:tentative="0">
      <w:start w:val="0"/>
      <w:numFmt w:val="bullet"/>
      <w:lvlText w:val="•"/>
      <w:lvlJc w:val="left"/>
      <w:pPr>
        <w:ind w:left="6931" w:hanging="241"/>
      </w:pPr>
      <w:rPr>
        <w:rFonts w:hint="default"/>
        <w:lang w:val="zh-CN" w:eastAsia="zh-CN" w:bidi="zh-CN"/>
      </w:rPr>
    </w:lvl>
    <w:lvl w:ilvl="7" w:tentative="0">
      <w:start w:val="0"/>
      <w:numFmt w:val="bullet"/>
      <w:lvlText w:val="•"/>
      <w:lvlJc w:val="left"/>
      <w:pPr>
        <w:ind w:left="7930" w:hanging="241"/>
      </w:pPr>
      <w:rPr>
        <w:rFonts w:hint="default"/>
        <w:lang w:val="zh-CN" w:eastAsia="zh-CN" w:bidi="zh-CN"/>
      </w:rPr>
    </w:lvl>
    <w:lvl w:ilvl="8" w:tentative="0">
      <w:start w:val="0"/>
      <w:numFmt w:val="bullet"/>
      <w:lvlText w:val="•"/>
      <w:lvlJc w:val="left"/>
      <w:pPr>
        <w:ind w:left="8929" w:hanging="241"/>
      </w:pPr>
      <w:rPr>
        <w:rFonts w:hint="default"/>
        <w:lang w:val="zh-CN" w:eastAsia="zh-CN" w:bidi="zh-CN"/>
      </w:rPr>
    </w:lvl>
  </w:abstractNum>
  <w:abstractNum w:abstractNumId="6">
    <w:nsid w:val="3A0105B5"/>
    <w:multiLevelType w:val="multilevel"/>
    <w:tmpl w:val="3A0105B5"/>
    <w:lvl w:ilvl="0" w:tentative="0">
      <w:start w:val="1"/>
      <w:numFmt w:val="decimal"/>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0"/>
  </w:num>
  <w:num w:numId="2">
    <w:abstractNumId w:val="3"/>
  </w:num>
  <w:num w:numId="3">
    <w:abstractNumId w:val="4"/>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movePersonalInformation/>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GQwMzEyNjBkOGM2YTQxNDZiZTlmMTZiY2ZlMWUifQ=="/>
    <w:docVar w:name="KSO_WPS_MARK_KEY" w:val="67d3fbc3-c7e6-4921-8236-f6389069a441"/>
  </w:docVars>
  <w:rsids>
    <w:rsidRoot w:val="00172A27"/>
    <w:rsid w:val="000004C2"/>
    <w:rsid w:val="00000FF4"/>
    <w:rsid w:val="00005A40"/>
    <w:rsid w:val="0001051E"/>
    <w:rsid w:val="00010A96"/>
    <w:rsid w:val="00010DF7"/>
    <w:rsid w:val="000143FE"/>
    <w:rsid w:val="000167C1"/>
    <w:rsid w:val="0002176F"/>
    <w:rsid w:val="000240C7"/>
    <w:rsid w:val="00026A2C"/>
    <w:rsid w:val="00030DF5"/>
    <w:rsid w:val="000334AE"/>
    <w:rsid w:val="000346FA"/>
    <w:rsid w:val="000506D9"/>
    <w:rsid w:val="00055798"/>
    <w:rsid w:val="0006468B"/>
    <w:rsid w:val="000679EB"/>
    <w:rsid w:val="00073516"/>
    <w:rsid w:val="0007694D"/>
    <w:rsid w:val="00076F67"/>
    <w:rsid w:val="00077C8A"/>
    <w:rsid w:val="00080702"/>
    <w:rsid w:val="000820D2"/>
    <w:rsid w:val="00084441"/>
    <w:rsid w:val="00091FF2"/>
    <w:rsid w:val="00093CE4"/>
    <w:rsid w:val="000A114C"/>
    <w:rsid w:val="000A13E5"/>
    <w:rsid w:val="000A4984"/>
    <w:rsid w:val="000A7425"/>
    <w:rsid w:val="000A76FC"/>
    <w:rsid w:val="000A79E3"/>
    <w:rsid w:val="000B0E87"/>
    <w:rsid w:val="000B2A53"/>
    <w:rsid w:val="000B4FDB"/>
    <w:rsid w:val="000B54A9"/>
    <w:rsid w:val="000C2D79"/>
    <w:rsid w:val="000D0B12"/>
    <w:rsid w:val="000D1135"/>
    <w:rsid w:val="000D475B"/>
    <w:rsid w:val="000D63B2"/>
    <w:rsid w:val="000E15CF"/>
    <w:rsid w:val="000F143C"/>
    <w:rsid w:val="000F221A"/>
    <w:rsid w:val="000F6EF6"/>
    <w:rsid w:val="000F74E6"/>
    <w:rsid w:val="00102E1B"/>
    <w:rsid w:val="0010461A"/>
    <w:rsid w:val="00106311"/>
    <w:rsid w:val="00114B16"/>
    <w:rsid w:val="00115C65"/>
    <w:rsid w:val="00115EB3"/>
    <w:rsid w:val="00116768"/>
    <w:rsid w:val="00120880"/>
    <w:rsid w:val="001257E3"/>
    <w:rsid w:val="00125B4B"/>
    <w:rsid w:val="00126F51"/>
    <w:rsid w:val="00132ABE"/>
    <w:rsid w:val="001347B2"/>
    <w:rsid w:val="00135836"/>
    <w:rsid w:val="00136537"/>
    <w:rsid w:val="00141ECA"/>
    <w:rsid w:val="00147175"/>
    <w:rsid w:val="00147E38"/>
    <w:rsid w:val="001602D4"/>
    <w:rsid w:val="00160F09"/>
    <w:rsid w:val="00163C8C"/>
    <w:rsid w:val="00165232"/>
    <w:rsid w:val="0016595D"/>
    <w:rsid w:val="00166D41"/>
    <w:rsid w:val="00172A27"/>
    <w:rsid w:val="0017501B"/>
    <w:rsid w:val="00180760"/>
    <w:rsid w:val="00181C10"/>
    <w:rsid w:val="00181D73"/>
    <w:rsid w:val="00182776"/>
    <w:rsid w:val="00182ABC"/>
    <w:rsid w:val="00186D0F"/>
    <w:rsid w:val="0019491E"/>
    <w:rsid w:val="001A4267"/>
    <w:rsid w:val="001A79C6"/>
    <w:rsid w:val="001B1E0E"/>
    <w:rsid w:val="001B2A06"/>
    <w:rsid w:val="001B3466"/>
    <w:rsid w:val="001B3C51"/>
    <w:rsid w:val="001B5150"/>
    <w:rsid w:val="001B52C6"/>
    <w:rsid w:val="001C2DCE"/>
    <w:rsid w:val="001C2E40"/>
    <w:rsid w:val="001C3049"/>
    <w:rsid w:val="001C3A43"/>
    <w:rsid w:val="001C3ED7"/>
    <w:rsid w:val="001C4FDB"/>
    <w:rsid w:val="001C586E"/>
    <w:rsid w:val="001C5B16"/>
    <w:rsid w:val="001C7B43"/>
    <w:rsid w:val="001D0581"/>
    <w:rsid w:val="001D2002"/>
    <w:rsid w:val="001D29AC"/>
    <w:rsid w:val="001D3951"/>
    <w:rsid w:val="001E0CD2"/>
    <w:rsid w:val="001E4994"/>
    <w:rsid w:val="001E52BC"/>
    <w:rsid w:val="001E533D"/>
    <w:rsid w:val="001E6677"/>
    <w:rsid w:val="001E768A"/>
    <w:rsid w:val="001F460B"/>
    <w:rsid w:val="001F4870"/>
    <w:rsid w:val="001F7D62"/>
    <w:rsid w:val="0020146A"/>
    <w:rsid w:val="002059C1"/>
    <w:rsid w:val="002121FC"/>
    <w:rsid w:val="00213200"/>
    <w:rsid w:val="00217D80"/>
    <w:rsid w:val="00223677"/>
    <w:rsid w:val="00223FEB"/>
    <w:rsid w:val="0022640A"/>
    <w:rsid w:val="002266CF"/>
    <w:rsid w:val="00226C2C"/>
    <w:rsid w:val="002307B4"/>
    <w:rsid w:val="002347C9"/>
    <w:rsid w:val="002349B1"/>
    <w:rsid w:val="00237EB7"/>
    <w:rsid w:val="00241C22"/>
    <w:rsid w:val="00251174"/>
    <w:rsid w:val="00251E1D"/>
    <w:rsid w:val="002537B6"/>
    <w:rsid w:val="002539A4"/>
    <w:rsid w:val="002552FA"/>
    <w:rsid w:val="00256462"/>
    <w:rsid w:val="00257EF4"/>
    <w:rsid w:val="00262A59"/>
    <w:rsid w:val="00262BAF"/>
    <w:rsid w:val="002655B0"/>
    <w:rsid w:val="00266045"/>
    <w:rsid w:val="00271B69"/>
    <w:rsid w:val="00271E97"/>
    <w:rsid w:val="0027295D"/>
    <w:rsid w:val="002729CB"/>
    <w:rsid w:val="00285846"/>
    <w:rsid w:val="0028663B"/>
    <w:rsid w:val="00287FC2"/>
    <w:rsid w:val="00291839"/>
    <w:rsid w:val="00292622"/>
    <w:rsid w:val="0029599D"/>
    <w:rsid w:val="00295BC7"/>
    <w:rsid w:val="00295E18"/>
    <w:rsid w:val="0029752E"/>
    <w:rsid w:val="002B0B0A"/>
    <w:rsid w:val="002C64DC"/>
    <w:rsid w:val="002D05B0"/>
    <w:rsid w:val="002D471F"/>
    <w:rsid w:val="002D7BBB"/>
    <w:rsid w:val="002E47C7"/>
    <w:rsid w:val="002E7623"/>
    <w:rsid w:val="002F0A4B"/>
    <w:rsid w:val="002F14D2"/>
    <w:rsid w:val="002F4152"/>
    <w:rsid w:val="00303A9B"/>
    <w:rsid w:val="00303B5B"/>
    <w:rsid w:val="0030509A"/>
    <w:rsid w:val="00312654"/>
    <w:rsid w:val="00314052"/>
    <w:rsid w:val="00321569"/>
    <w:rsid w:val="00324044"/>
    <w:rsid w:val="00326D1E"/>
    <w:rsid w:val="0032777F"/>
    <w:rsid w:val="00330892"/>
    <w:rsid w:val="0033764B"/>
    <w:rsid w:val="00341515"/>
    <w:rsid w:val="003420D5"/>
    <w:rsid w:val="00343164"/>
    <w:rsid w:val="003432D3"/>
    <w:rsid w:val="00343D16"/>
    <w:rsid w:val="0034411B"/>
    <w:rsid w:val="00345F50"/>
    <w:rsid w:val="003464AC"/>
    <w:rsid w:val="003472FD"/>
    <w:rsid w:val="00352310"/>
    <w:rsid w:val="00353B93"/>
    <w:rsid w:val="00360AF1"/>
    <w:rsid w:val="003612FD"/>
    <w:rsid w:val="00367103"/>
    <w:rsid w:val="00370A44"/>
    <w:rsid w:val="00372C2D"/>
    <w:rsid w:val="003751E1"/>
    <w:rsid w:val="00376523"/>
    <w:rsid w:val="00377088"/>
    <w:rsid w:val="00377A7D"/>
    <w:rsid w:val="003811B3"/>
    <w:rsid w:val="0038462E"/>
    <w:rsid w:val="00384CB6"/>
    <w:rsid w:val="00390712"/>
    <w:rsid w:val="00391180"/>
    <w:rsid w:val="00391B59"/>
    <w:rsid w:val="00396997"/>
    <w:rsid w:val="003A3841"/>
    <w:rsid w:val="003A7E2A"/>
    <w:rsid w:val="003B0637"/>
    <w:rsid w:val="003B10AB"/>
    <w:rsid w:val="003B3F07"/>
    <w:rsid w:val="003B7EE9"/>
    <w:rsid w:val="003C2803"/>
    <w:rsid w:val="003C7322"/>
    <w:rsid w:val="003D0ED6"/>
    <w:rsid w:val="003D20F8"/>
    <w:rsid w:val="003D3675"/>
    <w:rsid w:val="003E02B5"/>
    <w:rsid w:val="003E06B4"/>
    <w:rsid w:val="003E0AE1"/>
    <w:rsid w:val="003E163A"/>
    <w:rsid w:val="003E296D"/>
    <w:rsid w:val="003E3CA4"/>
    <w:rsid w:val="003F1053"/>
    <w:rsid w:val="003F25FE"/>
    <w:rsid w:val="003F331A"/>
    <w:rsid w:val="003F37D0"/>
    <w:rsid w:val="003F43F6"/>
    <w:rsid w:val="003F5297"/>
    <w:rsid w:val="003F583E"/>
    <w:rsid w:val="003F7B9D"/>
    <w:rsid w:val="003F7E21"/>
    <w:rsid w:val="00404A11"/>
    <w:rsid w:val="00404D08"/>
    <w:rsid w:val="0040704A"/>
    <w:rsid w:val="004105AD"/>
    <w:rsid w:val="004121BB"/>
    <w:rsid w:val="00416492"/>
    <w:rsid w:val="00423B42"/>
    <w:rsid w:val="00424166"/>
    <w:rsid w:val="00425567"/>
    <w:rsid w:val="004316FA"/>
    <w:rsid w:val="00434391"/>
    <w:rsid w:val="0043661D"/>
    <w:rsid w:val="004407FA"/>
    <w:rsid w:val="0044113D"/>
    <w:rsid w:val="0044356A"/>
    <w:rsid w:val="0044410D"/>
    <w:rsid w:val="00446080"/>
    <w:rsid w:val="004520F3"/>
    <w:rsid w:val="00452803"/>
    <w:rsid w:val="004653A4"/>
    <w:rsid w:val="00467FF9"/>
    <w:rsid w:val="00471871"/>
    <w:rsid w:val="004724C2"/>
    <w:rsid w:val="0047260C"/>
    <w:rsid w:val="00481425"/>
    <w:rsid w:val="00483176"/>
    <w:rsid w:val="00487723"/>
    <w:rsid w:val="004961FA"/>
    <w:rsid w:val="004A0003"/>
    <w:rsid w:val="004A256B"/>
    <w:rsid w:val="004A2949"/>
    <w:rsid w:val="004A5189"/>
    <w:rsid w:val="004B1F8A"/>
    <w:rsid w:val="004B5B13"/>
    <w:rsid w:val="004B7075"/>
    <w:rsid w:val="004C1E13"/>
    <w:rsid w:val="004C449F"/>
    <w:rsid w:val="004C54D9"/>
    <w:rsid w:val="004C6F76"/>
    <w:rsid w:val="004D1227"/>
    <w:rsid w:val="004D17D2"/>
    <w:rsid w:val="004D1B34"/>
    <w:rsid w:val="004D50A1"/>
    <w:rsid w:val="004D7753"/>
    <w:rsid w:val="004E68F4"/>
    <w:rsid w:val="004F0C13"/>
    <w:rsid w:val="004F1CD5"/>
    <w:rsid w:val="004F6B24"/>
    <w:rsid w:val="00501C7D"/>
    <w:rsid w:val="00501F78"/>
    <w:rsid w:val="00503C0E"/>
    <w:rsid w:val="00506C69"/>
    <w:rsid w:val="00511586"/>
    <w:rsid w:val="00513D67"/>
    <w:rsid w:val="00516CF6"/>
    <w:rsid w:val="00517A5F"/>
    <w:rsid w:val="0052037E"/>
    <w:rsid w:val="00523B95"/>
    <w:rsid w:val="005243DC"/>
    <w:rsid w:val="00530902"/>
    <w:rsid w:val="00536795"/>
    <w:rsid w:val="00537FA3"/>
    <w:rsid w:val="00540491"/>
    <w:rsid w:val="00543D7D"/>
    <w:rsid w:val="0054470F"/>
    <w:rsid w:val="005474F4"/>
    <w:rsid w:val="0055323E"/>
    <w:rsid w:val="0055588D"/>
    <w:rsid w:val="005625EF"/>
    <w:rsid w:val="00567256"/>
    <w:rsid w:val="005675F5"/>
    <w:rsid w:val="00567A45"/>
    <w:rsid w:val="00570FBC"/>
    <w:rsid w:val="00571C17"/>
    <w:rsid w:val="0057737D"/>
    <w:rsid w:val="00580460"/>
    <w:rsid w:val="00580E76"/>
    <w:rsid w:val="00582EDB"/>
    <w:rsid w:val="00585BD0"/>
    <w:rsid w:val="00585C08"/>
    <w:rsid w:val="0058783A"/>
    <w:rsid w:val="005902D8"/>
    <w:rsid w:val="00594A96"/>
    <w:rsid w:val="005956DD"/>
    <w:rsid w:val="00596948"/>
    <w:rsid w:val="005A4016"/>
    <w:rsid w:val="005B25C5"/>
    <w:rsid w:val="005B502D"/>
    <w:rsid w:val="005C12E4"/>
    <w:rsid w:val="005C3C3D"/>
    <w:rsid w:val="005C6E1A"/>
    <w:rsid w:val="005D1E6A"/>
    <w:rsid w:val="005D669E"/>
    <w:rsid w:val="005E124B"/>
    <w:rsid w:val="005E3787"/>
    <w:rsid w:val="005E5889"/>
    <w:rsid w:val="005E6A61"/>
    <w:rsid w:val="005F55F4"/>
    <w:rsid w:val="00600923"/>
    <w:rsid w:val="00603585"/>
    <w:rsid w:val="006058A2"/>
    <w:rsid w:val="0061237A"/>
    <w:rsid w:val="00612F2A"/>
    <w:rsid w:val="00614F37"/>
    <w:rsid w:val="0061773B"/>
    <w:rsid w:val="006178BC"/>
    <w:rsid w:val="00617A31"/>
    <w:rsid w:val="00617EB2"/>
    <w:rsid w:val="006202AE"/>
    <w:rsid w:val="00621055"/>
    <w:rsid w:val="006221C3"/>
    <w:rsid w:val="00624338"/>
    <w:rsid w:val="00624385"/>
    <w:rsid w:val="0062723D"/>
    <w:rsid w:val="006312E9"/>
    <w:rsid w:val="00633CD5"/>
    <w:rsid w:val="00634521"/>
    <w:rsid w:val="00634D6A"/>
    <w:rsid w:val="006350B8"/>
    <w:rsid w:val="00635B11"/>
    <w:rsid w:val="006427A0"/>
    <w:rsid w:val="00644139"/>
    <w:rsid w:val="006451DF"/>
    <w:rsid w:val="006457C4"/>
    <w:rsid w:val="006528F6"/>
    <w:rsid w:val="0065598E"/>
    <w:rsid w:val="00655F4E"/>
    <w:rsid w:val="00657BE1"/>
    <w:rsid w:val="006736AA"/>
    <w:rsid w:val="00673DB1"/>
    <w:rsid w:val="00680461"/>
    <w:rsid w:val="00682978"/>
    <w:rsid w:val="00684407"/>
    <w:rsid w:val="006855DE"/>
    <w:rsid w:val="00697775"/>
    <w:rsid w:val="00697877"/>
    <w:rsid w:val="006A45CF"/>
    <w:rsid w:val="006B1905"/>
    <w:rsid w:val="006B2A61"/>
    <w:rsid w:val="006B3AC4"/>
    <w:rsid w:val="006B5955"/>
    <w:rsid w:val="006B65C5"/>
    <w:rsid w:val="006C052F"/>
    <w:rsid w:val="006C1576"/>
    <w:rsid w:val="006C715A"/>
    <w:rsid w:val="006D4CAA"/>
    <w:rsid w:val="006D691C"/>
    <w:rsid w:val="006D692D"/>
    <w:rsid w:val="006E2C1A"/>
    <w:rsid w:val="006E5D78"/>
    <w:rsid w:val="006F23C2"/>
    <w:rsid w:val="006F2C17"/>
    <w:rsid w:val="006F2DE1"/>
    <w:rsid w:val="006F2E46"/>
    <w:rsid w:val="006F3662"/>
    <w:rsid w:val="006F41D9"/>
    <w:rsid w:val="006F49AD"/>
    <w:rsid w:val="006F4BF2"/>
    <w:rsid w:val="007004BE"/>
    <w:rsid w:val="00700CA0"/>
    <w:rsid w:val="00700D17"/>
    <w:rsid w:val="00710B6F"/>
    <w:rsid w:val="00711263"/>
    <w:rsid w:val="00714FD4"/>
    <w:rsid w:val="0073671B"/>
    <w:rsid w:val="00740D1F"/>
    <w:rsid w:val="00741E5A"/>
    <w:rsid w:val="00742DB9"/>
    <w:rsid w:val="0074436D"/>
    <w:rsid w:val="007457DA"/>
    <w:rsid w:val="007501FC"/>
    <w:rsid w:val="007509E0"/>
    <w:rsid w:val="0075138E"/>
    <w:rsid w:val="007522E1"/>
    <w:rsid w:val="007525D6"/>
    <w:rsid w:val="00755887"/>
    <w:rsid w:val="00762E01"/>
    <w:rsid w:val="007723F2"/>
    <w:rsid w:val="00772C3E"/>
    <w:rsid w:val="00776DD5"/>
    <w:rsid w:val="00776F4C"/>
    <w:rsid w:val="007775D8"/>
    <w:rsid w:val="00777B5C"/>
    <w:rsid w:val="00780DBD"/>
    <w:rsid w:val="007823D0"/>
    <w:rsid w:val="00782FF5"/>
    <w:rsid w:val="00791753"/>
    <w:rsid w:val="00792FA0"/>
    <w:rsid w:val="00795A6F"/>
    <w:rsid w:val="00795C10"/>
    <w:rsid w:val="007A20A7"/>
    <w:rsid w:val="007A349A"/>
    <w:rsid w:val="007A38CC"/>
    <w:rsid w:val="007A4F95"/>
    <w:rsid w:val="007B1AEA"/>
    <w:rsid w:val="007B205F"/>
    <w:rsid w:val="007B436D"/>
    <w:rsid w:val="007B706E"/>
    <w:rsid w:val="007B75D3"/>
    <w:rsid w:val="007C5641"/>
    <w:rsid w:val="007C650F"/>
    <w:rsid w:val="007D017F"/>
    <w:rsid w:val="007D1024"/>
    <w:rsid w:val="007D2957"/>
    <w:rsid w:val="007D2A81"/>
    <w:rsid w:val="007D4614"/>
    <w:rsid w:val="007D7231"/>
    <w:rsid w:val="007D7DFB"/>
    <w:rsid w:val="007E07DE"/>
    <w:rsid w:val="007E2654"/>
    <w:rsid w:val="007E32EB"/>
    <w:rsid w:val="007E38C1"/>
    <w:rsid w:val="007E55E7"/>
    <w:rsid w:val="007E63D5"/>
    <w:rsid w:val="007E785D"/>
    <w:rsid w:val="007F1FDA"/>
    <w:rsid w:val="007F23E0"/>
    <w:rsid w:val="007F52D5"/>
    <w:rsid w:val="007F55F2"/>
    <w:rsid w:val="007F562F"/>
    <w:rsid w:val="007F6CDA"/>
    <w:rsid w:val="007F6DC1"/>
    <w:rsid w:val="007F7860"/>
    <w:rsid w:val="008103ED"/>
    <w:rsid w:val="00811F13"/>
    <w:rsid w:val="008123D9"/>
    <w:rsid w:val="008142B0"/>
    <w:rsid w:val="008145DD"/>
    <w:rsid w:val="00815FE3"/>
    <w:rsid w:val="00816685"/>
    <w:rsid w:val="008174DA"/>
    <w:rsid w:val="00832735"/>
    <w:rsid w:val="00834BCA"/>
    <w:rsid w:val="00834D76"/>
    <w:rsid w:val="00845233"/>
    <w:rsid w:val="008454F5"/>
    <w:rsid w:val="00845CBC"/>
    <w:rsid w:val="0084796B"/>
    <w:rsid w:val="008504AD"/>
    <w:rsid w:val="00850E76"/>
    <w:rsid w:val="008520E3"/>
    <w:rsid w:val="00852C50"/>
    <w:rsid w:val="008547E9"/>
    <w:rsid w:val="008557C6"/>
    <w:rsid w:val="00855E3A"/>
    <w:rsid w:val="008574B0"/>
    <w:rsid w:val="00860B9D"/>
    <w:rsid w:val="0086320E"/>
    <w:rsid w:val="0086363C"/>
    <w:rsid w:val="00864B5A"/>
    <w:rsid w:val="00866130"/>
    <w:rsid w:val="00871CB1"/>
    <w:rsid w:val="00872634"/>
    <w:rsid w:val="00876885"/>
    <w:rsid w:val="0087731A"/>
    <w:rsid w:val="008824F7"/>
    <w:rsid w:val="00885F88"/>
    <w:rsid w:val="008864EA"/>
    <w:rsid w:val="00890014"/>
    <w:rsid w:val="008913F0"/>
    <w:rsid w:val="00893CE3"/>
    <w:rsid w:val="00894530"/>
    <w:rsid w:val="008967C9"/>
    <w:rsid w:val="00897AD4"/>
    <w:rsid w:val="008A148A"/>
    <w:rsid w:val="008A5D64"/>
    <w:rsid w:val="008A7A40"/>
    <w:rsid w:val="008A7F97"/>
    <w:rsid w:val="008B2AB3"/>
    <w:rsid w:val="008B3DC5"/>
    <w:rsid w:val="008B7D66"/>
    <w:rsid w:val="008B7E70"/>
    <w:rsid w:val="008C3580"/>
    <w:rsid w:val="008D4217"/>
    <w:rsid w:val="008E0211"/>
    <w:rsid w:val="008E10FA"/>
    <w:rsid w:val="008E2ECA"/>
    <w:rsid w:val="008E3B64"/>
    <w:rsid w:val="008F2C32"/>
    <w:rsid w:val="008F2E13"/>
    <w:rsid w:val="008F360A"/>
    <w:rsid w:val="008F405F"/>
    <w:rsid w:val="008F562C"/>
    <w:rsid w:val="00900AF3"/>
    <w:rsid w:val="00904545"/>
    <w:rsid w:val="0091158B"/>
    <w:rsid w:val="00913C3B"/>
    <w:rsid w:val="00913DAE"/>
    <w:rsid w:val="009149AE"/>
    <w:rsid w:val="00917455"/>
    <w:rsid w:val="00917C6B"/>
    <w:rsid w:val="00917F48"/>
    <w:rsid w:val="00921FFD"/>
    <w:rsid w:val="0092227A"/>
    <w:rsid w:val="00923744"/>
    <w:rsid w:val="009248AD"/>
    <w:rsid w:val="0092717C"/>
    <w:rsid w:val="0093185A"/>
    <w:rsid w:val="00932B42"/>
    <w:rsid w:val="0093405C"/>
    <w:rsid w:val="009364AE"/>
    <w:rsid w:val="009368BB"/>
    <w:rsid w:val="00942399"/>
    <w:rsid w:val="00944E22"/>
    <w:rsid w:val="0094729F"/>
    <w:rsid w:val="009515AF"/>
    <w:rsid w:val="00955BC7"/>
    <w:rsid w:val="00955C2C"/>
    <w:rsid w:val="00957293"/>
    <w:rsid w:val="00957BF6"/>
    <w:rsid w:val="009650E2"/>
    <w:rsid w:val="009675ED"/>
    <w:rsid w:val="00974416"/>
    <w:rsid w:val="00976657"/>
    <w:rsid w:val="009768B8"/>
    <w:rsid w:val="009774DA"/>
    <w:rsid w:val="00985669"/>
    <w:rsid w:val="009866B9"/>
    <w:rsid w:val="009907CF"/>
    <w:rsid w:val="009A1461"/>
    <w:rsid w:val="009A29A4"/>
    <w:rsid w:val="009A3CD6"/>
    <w:rsid w:val="009A5131"/>
    <w:rsid w:val="009A6FD8"/>
    <w:rsid w:val="009A7344"/>
    <w:rsid w:val="009A7D65"/>
    <w:rsid w:val="009B12BE"/>
    <w:rsid w:val="009B2271"/>
    <w:rsid w:val="009B7CC9"/>
    <w:rsid w:val="009C02A4"/>
    <w:rsid w:val="009C245D"/>
    <w:rsid w:val="009C54BF"/>
    <w:rsid w:val="009C5664"/>
    <w:rsid w:val="009D4623"/>
    <w:rsid w:val="009D769A"/>
    <w:rsid w:val="009D771B"/>
    <w:rsid w:val="009E0D25"/>
    <w:rsid w:val="009E7B62"/>
    <w:rsid w:val="009F22C3"/>
    <w:rsid w:val="009F3F44"/>
    <w:rsid w:val="00A04509"/>
    <w:rsid w:val="00A05AC8"/>
    <w:rsid w:val="00A0646B"/>
    <w:rsid w:val="00A1051F"/>
    <w:rsid w:val="00A10DC3"/>
    <w:rsid w:val="00A125C2"/>
    <w:rsid w:val="00A15271"/>
    <w:rsid w:val="00A15D97"/>
    <w:rsid w:val="00A15FE9"/>
    <w:rsid w:val="00A20723"/>
    <w:rsid w:val="00A20F17"/>
    <w:rsid w:val="00A248DF"/>
    <w:rsid w:val="00A35E77"/>
    <w:rsid w:val="00A36888"/>
    <w:rsid w:val="00A3786E"/>
    <w:rsid w:val="00A46AE1"/>
    <w:rsid w:val="00A51D59"/>
    <w:rsid w:val="00A5336C"/>
    <w:rsid w:val="00A53A0C"/>
    <w:rsid w:val="00A54C06"/>
    <w:rsid w:val="00A60948"/>
    <w:rsid w:val="00A6268E"/>
    <w:rsid w:val="00A63012"/>
    <w:rsid w:val="00A675A2"/>
    <w:rsid w:val="00A67817"/>
    <w:rsid w:val="00A70767"/>
    <w:rsid w:val="00A77493"/>
    <w:rsid w:val="00A80B62"/>
    <w:rsid w:val="00A85BD1"/>
    <w:rsid w:val="00A92A9D"/>
    <w:rsid w:val="00A93885"/>
    <w:rsid w:val="00A965A5"/>
    <w:rsid w:val="00A96F5D"/>
    <w:rsid w:val="00A97B08"/>
    <w:rsid w:val="00AA0AFE"/>
    <w:rsid w:val="00AA3E19"/>
    <w:rsid w:val="00AA5B55"/>
    <w:rsid w:val="00AB3ADF"/>
    <w:rsid w:val="00AB57F7"/>
    <w:rsid w:val="00AC12A2"/>
    <w:rsid w:val="00AC3CCF"/>
    <w:rsid w:val="00AC3F8F"/>
    <w:rsid w:val="00AC43B4"/>
    <w:rsid w:val="00AC6244"/>
    <w:rsid w:val="00AD246F"/>
    <w:rsid w:val="00AD515F"/>
    <w:rsid w:val="00AD7511"/>
    <w:rsid w:val="00AD7F89"/>
    <w:rsid w:val="00AE01D4"/>
    <w:rsid w:val="00AE1F17"/>
    <w:rsid w:val="00AE21DF"/>
    <w:rsid w:val="00AE3556"/>
    <w:rsid w:val="00AE7492"/>
    <w:rsid w:val="00AE7FEB"/>
    <w:rsid w:val="00AF284D"/>
    <w:rsid w:val="00AF43A0"/>
    <w:rsid w:val="00AF7B5A"/>
    <w:rsid w:val="00B02CD1"/>
    <w:rsid w:val="00B04863"/>
    <w:rsid w:val="00B04FD3"/>
    <w:rsid w:val="00B10013"/>
    <w:rsid w:val="00B10A27"/>
    <w:rsid w:val="00B1231C"/>
    <w:rsid w:val="00B13A8F"/>
    <w:rsid w:val="00B150A2"/>
    <w:rsid w:val="00B27CA5"/>
    <w:rsid w:val="00B34292"/>
    <w:rsid w:val="00B3626E"/>
    <w:rsid w:val="00B37976"/>
    <w:rsid w:val="00B47EF3"/>
    <w:rsid w:val="00B500A6"/>
    <w:rsid w:val="00B501E1"/>
    <w:rsid w:val="00B52E54"/>
    <w:rsid w:val="00B57D45"/>
    <w:rsid w:val="00B60A95"/>
    <w:rsid w:val="00B61427"/>
    <w:rsid w:val="00B64F0C"/>
    <w:rsid w:val="00B7076B"/>
    <w:rsid w:val="00B70C85"/>
    <w:rsid w:val="00B71E37"/>
    <w:rsid w:val="00B728E2"/>
    <w:rsid w:val="00B76AFC"/>
    <w:rsid w:val="00B803FC"/>
    <w:rsid w:val="00B80B32"/>
    <w:rsid w:val="00B83174"/>
    <w:rsid w:val="00B83FE7"/>
    <w:rsid w:val="00B84198"/>
    <w:rsid w:val="00B860F7"/>
    <w:rsid w:val="00B86D13"/>
    <w:rsid w:val="00B910EB"/>
    <w:rsid w:val="00B923BC"/>
    <w:rsid w:val="00B92764"/>
    <w:rsid w:val="00BA0798"/>
    <w:rsid w:val="00BA0DD4"/>
    <w:rsid w:val="00BA154F"/>
    <w:rsid w:val="00BA1A9D"/>
    <w:rsid w:val="00BA224F"/>
    <w:rsid w:val="00BA2E79"/>
    <w:rsid w:val="00BA4FB1"/>
    <w:rsid w:val="00BA5729"/>
    <w:rsid w:val="00BA64CB"/>
    <w:rsid w:val="00BB5C18"/>
    <w:rsid w:val="00BB5F06"/>
    <w:rsid w:val="00BC0F1D"/>
    <w:rsid w:val="00BC40D3"/>
    <w:rsid w:val="00BC769C"/>
    <w:rsid w:val="00BC7893"/>
    <w:rsid w:val="00BD33A4"/>
    <w:rsid w:val="00BD4BB7"/>
    <w:rsid w:val="00BD5721"/>
    <w:rsid w:val="00BF34BC"/>
    <w:rsid w:val="00C01C9B"/>
    <w:rsid w:val="00C02E89"/>
    <w:rsid w:val="00C052D6"/>
    <w:rsid w:val="00C06FC1"/>
    <w:rsid w:val="00C075F2"/>
    <w:rsid w:val="00C12153"/>
    <w:rsid w:val="00C131A2"/>
    <w:rsid w:val="00C25C0C"/>
    <w:rsid w:val="00C27AB6"/>
    <w:rsid w:val="00C35CC1"/>
    <w:rsid w:val="00C35DF4"/>
    <w:rsid w:val="00C3680F"/>
    <w:rsid w:val="00C37F51"/>
    <w:rsid w:val="00C401A0"/>
    <w:rsid w:val="00C42A01"/>
    <w:rsid w:val="00C47AE1"/>
    <w:rsid w:val="00C554D6"/>
    <w:rsid w:val="00C56081"/>
    <w:rsid w:val="00C62A67"/>
    <w:rsid w:val="00C67453"/>
    <w:rsid w:val="00C7207F"/>
    <w:rsid w:val="00C7611F"/>
    <w:rsid w:val="00C85EE4"/>
    <w:rsid w:val="00C875F5"/>
    <w:rsid w:val="00C879D5"/>
    <w:rsid w:val="00CA08C6"/>
    <w:rsid w:val="00CA193A"/>
    <w:rsid w:val="00CA46FC"/>
    <w:rsid w:val="00CB252D"/>
    <w:rsid w:val="00CB5375"/>
    <w:rsid w:val="00CC0E6C"/>
    <w:rsid w:val="00CC3F90"/>
    <w:rsid w:val="00CC6337"/>
    <w:rsid w:val="00CD0361"/>
    <w:rsid w:val="00CD1456"/>
    <w:rsid w:val="00CD2E68"/>
    <w:rsid w:val="00CD39F0"/>
    <w:rsid w:val="00CD44D6"/>
    <w:rsid w:val="00CE2C7E"/>
    <w:rsid w:val="00CE45F4"/>
    <w:rsid w:val="00CE7047"/>
    <w:rsid w:val="00CE7D68"/>
    <w:rsid w:val="00CF0823"/>
    <w:rsid w:val="00CF1BED"/>
    <w:rsid w:val="00CF2DDE"/>
    <w:rsid w:val="00D021FF"/>
    <w:rsid w:val="00D02476"/>
    <w:rsid w:val="00D02F5D"/>
    <w:rsid w:val="00D124F2"/>
    <w:rsid w:val="00D129B3"/>
    <w:rsid w:val="00D1302E"/>
    <w:rsid w:val="00D23F9A"/>
    <w:rsid w:val="00D25B13"/>
    <w:rsid w:val="00D3503F"/>
    <w:rsid w:val="00D37012"/>
    <w:rsid w:val="00D41A6E"/>
    <w:rsid w:val="00D422D6"/>
    <w:rsid w:val="00D44168"/>
    <w:rsid w:val="00D44C67"/>
    <w:rsid w:val="00D45F6C"/>
    <w:rsid w:val="00D47EAE"/>
    <w:rsid w:val="00D47F36"/>
    <w:rsid w:val="00D50A77"/>
    <w:rsid w:val="00D52ACF"/>
    <w:rsid w:val="00D53CFA"/>
    <w:rsid w:val="00D5458C"/>
    <w:rsid w:val="00D646DA"/>
    <w:rsid w:val="00D72FDC"/>
    <w:rsid w:val="00D75C2F"/>
    <w:rsid w:val="00D76C90"/>
    <w:rsid w:val="00D777EB"/>
    <w:rsid w:val="00D8073B"/>
    <w:rsid w:val="00D8173A"/>
    <w:rsid w:val="00D819AD"/>
    <w:rsid w:val="00D85C51"/>
    <w:rsid w:val="00D90ABE"/>
    <w:rsid w:val="00D92A6C"/>
    <w:rsid w:val="00D93955"/>
    <w:rsid w:val="00D94F2E"/>
    <w:rsid w:val="00D9562A"/>
    <w:rsid w:val="00DA05DE"/>
    <w:rsid w:val="00DA0A8C"/>
    <w:rsid w:val="00DA622C"/>
    <w:rsid w:val="00DB3FE0"/>
    <w:rsid w:val="00DB5673"/>
    <w:rsid w:val="00DB70C8"/>
    <w:rsid w:val="00DC0E89"/>
    <w:rsid w:val="00DC1CAA"/>
    <w:rsid w:val="00DC3320"/>
    <w:rsid w:val="00DC3A79"/>
    <w:rsid w:val="00DC5D44"/>
    <w:rsid w:val="00DD0E6E"/>
    <w:rsid w:val="00DD22F7"/>
    <w:rsid w:val="00DD2463"/>
    <w:rsid w:val="00DD6FB3"/>
    <w:rsid w:val="00DE4D23"/>
    <w:rsid w:val="00E01BC7"/>
    <w:rsid w:val="00E04586"/>
    <w:rsid w:val="00E0477D"/>
    <w:rsid w:val="00E05CBE"/>
    <w:rsid w:val="00E10979"/>
    <w:rsid w:val="00E14BE9"/>
    <w:rsid w:val="00E172DB"/>
    <w:rsid w:val="00E211C6"/>
    <w:rsid w:val="00E21EBF"/>
    <w:rsid w:val="00E23BDE"/>
    <w:rsid w:val="00E2456F"/>
    <w:rsid w:val="00E27CE0"/>
    <w:rsid w:val="00E315FC"/>
    <w:rsid w:val="00E319B6"/>
    <w:rsid w:val="00E34282"/>
    <w:rsid w:val="00E35A18"/>
    <w:rsid w:val="00E367AF"/>
    <w:rsid w:val="00E372BB"/>
    <w:rsid w:val="00E40A36"/>
    <w:rsid w:val="00E424DA"/>
    <w:rsid w:val="00E42804"/>
    <w:rsid w:val="00E42E75"/>
    <w:rsid w:val="00E472E3"/>
    <w:rsid w:val="00E506F5"/>
    <w:rsid w:val="00E5094A"/>
    <w:rsid w:val="00E52578"/>
    <w:rsid w:val="00E535B6"/>
    <w:rsid w:val="00E555E6"/>
    <w:rsid w:val="00E5618C"/>
    <w:rsid w:val="00E77B15"/>
    <w:rsid w:val="00E82D82"/>
    <w:rsid w:val="00E85154"/>
    <w:rsid w:val="00E9268E"/>
    <w:rsid w:val="00E93230"/>
    <w:rsid w:val="00E94135"/>
    <w:rsid w:val="00E976BF"/>
    <w:rsid w:val="00EA02EA"/>
    <w:rsid w:val="00EA356D"/>
    <w:rsid w:val="00EA3AD8"/>
    <w:rsid w:val="00EB0413"/>
    <w:rsid w:val="00EB353A"/>
    <w:rsid w:val="00EC4241"/>
    <w:rsid w:val="00EC7D8C"/>
    <w:rsid w:val="00ED3C0F"/>
    <w:rsid w:val="00ED59FA"/>
    <w:rsid w:val="00ED7CEE"/>
    <w:rsid w:val="00EE7E96"/>
    <w:rsid w:val="00EF1CEC"/>
    <w:rsid w:val="00EF34E8"/>
    <w:rsid w:val="00EF3E87"/>
    <w:rsid w:val="00EF4FE2"/>
    <w:rsid w:val="00EF51FB"/>
    <w:rsid w:val="00EF7DEC"/>
    <w:rsid w:val="00EF7F19"/>
    <w:rsid w:val="00F013E9"/>
    <w:rsid w:val="00F04B7B"/>
    <w:rsid w:val="00F071A9"/>
    <w:rsid w:val="00F10DAB"/>
    <w:rsid w:val="00F10EB4"/>
    <w:rsid w:val="00F20CEA"/>
    <w:rsid w:val="00F216FD"/>
    <w:rsid w:val="00F26C3D"/>
    <w:rsid w:val="00F31460"/>
    <w:rsid w:val="00F319E1"/>
    <w:rsid w:val="00F35710"/>
    <w:rsid w:val="00F4729E"/>
    <w:rsid w:val="00F47B27"/>
    <w:rsid w:val="00F47BF7"/>
    <w:rsid w:val="00F52B01"/>
    <w:rsid w:val="00F55970"/>
    <w:rsid w:val="00F620C1"/>
    <w:rsid w:val="00F63311"/>
    <w:rsid w:val="00F6671F"/>
    <w:rsid w:val="00F7052E"/>
    <w:rsid w:val="00F7187F"/>
    <w:rsid w:val="00F72AE8"/>
    <w:rsid w:val="00F734DE"/>
    <w:rsid w:val="00F73D36"/>
    <w:rsid w:val="00F74135"/>
    <w:rsid w:val="00F74247"/>
    <w:rsid w:val="00F761A4"/>
    <w:rsid w:val="00F77CB4"/>
    <w:rsid w:val="00F830CF"/>
    <w:rsid w:val="00F8648C"/>
    <w:rsid w:val="00F9213F"/>
    <w:rsid w:val="00F93491"/>
    <w:rsid w:val="00FA1C02"/>
    <w:rsid w:val="00FA4DEF"/>
    <w:rsid w:val="00FA50DA"/>
    <w:rsid w:val="00FA6C25"/>
    <w:rsid w:val="00FA7A45"/>
    <w:rsid w:val="00FB18AC"/>
    <w:rsid w:val="00FB4C49"/>
    <w:rsid w:val="00FB50A8"/>
    <w:rsid w:val="00FB5694"/>
    <w:rsid w:val="00FB5D2A"/>
    <w:rsid w:val="00FC0AA9"/>
    <w:rsid w:val="00FC4BBF"/>
    <w:rsid w:val="00FC537F"/>
    <w:rsid w:val="00FC6AE9"/>
    <w:rsid w:val="00FC6D3A"/>
    <w:rsid w:val="00FD07CA"/>
    <w:rsid w:val="00FD0AC2"/>
    <w:rsid w:val="00FE1722"/>
    <w:rsid w:val="00FE5C91"/>
    <w:rsid w:val="00FF0BE5"/>
    <w:rsid w:val="00FF1C22"/>
    <w:rsid w:val="00FF2CD1"/>
    <w:rsid w:val="00FF397F"/>
    <w:rsid w:val="00FF596C"/>
    <w:rsid w:val="00FF5E9C"/>
    <w:rsid w:val="00FF6D86"/>
    <w:rsid w:val="01613449"/>
    <w:rsid w:val="01A23B02"/>
    <w:rsid w:val="024A11B4"/>
    <w:rsid w:val="02951B05"/>
    <w:rsid w:val="029E67E8"/>
    <w:rsid w:val="030F3475"/>
    <w:rsid w:val="036B6E26"/>
    <w:rsid w:val="041F1CE2"/>
    <w:rsid w:val="04CD21CE"/>
    <w:rsid w:val="04DE27BE"/>
    <w:rsid w:val="054A52C8"/>
    <w:rsid w:val="057A17B3"/>
    <w:rsid w:val="05915ED2"/>
    <w:rsid w:val="05EF467C"/>
    <w:rsid w:val="072B4B93"/>
    <w:rsid w:val="07AA7221"/>
    <w:rsid w:val="07E356F2"/>
    <w:rsid w:val="07FA7C7C"/>
    <w:rsid w:val="08102B4F"/>
    <w:rsid w:val="09451F87"/>
    <w:rsid w:val="09920119"/>
    <w:rsid w:val="09E97F72"/>
    <w:rsid w:val="0A2D72B4"/>
    <w:rsid w:val="0AA364D3"/>
    <w:rsid w:val="0B1C1A98"/>
    <w:rsid w:val="0B1E6DC8"/>
    <w:rsid w:val="0B835BE5"/>
    <w:rsid w:val="0CF933EB"/>
    <w:rsid w:val="0D3657BC"/>
    <w:rsid w:val="0D4A3F6C"/>
    <w:rsid w:val="0DD06175"/>
    <w:rsid w:val="0E0166A4"/>
    <w:rsid w:val="0E1B5095"/>
    <w:rsid w:val="0E3A5C60"/>
    <w:rsid w:val="0E673936"/>
    <w:rsid w:val="0F621C35"/>
    <w:rsid w:val="0FA355C0"/>
    <w:rsid w:val="0FDA3DE2"/>
    <w:rsid w:val="0FFD54BA"/>
    <w:rsid w:val="10761735"/>
    <w:rsid w:val="119C1C4F"/>
    <w:rsid w:val="11A947F4"/>
    <w:rsid w:val="121161FB"/>
    <w:rsid w:val="12342B72"/>
    <w:rsid w:val="128A57B9"/>
    <w:rsid w:val="12914112"/>
    <w:rsid w:val="12A21120"/>
    <w:rsid w:val="12FB75ED"/>
    <w:rsid w:val="1369346E"/>
    <w:rsid w:val="13B26928"/>
    <w:rsid w:val="143E4A1F"/>
    <w:rsid w:val="1449536D"/>
    <w:rsid w:val="14A7769E"/>
    <w:rsid w:val="158F7F6D"/>
    <w:rsid w:val="15EB03AD"/>
    <w:rsid w:val="162E461F"/>
    <w:rsid w:val="169D3553"/>
    <w:rsid w:val="16DF1FDF"/>
    <w:rsid w:val="170D2487"/>
    <w:rsid w:val="176C715E"/>
    <w:rsid w:val="177B08E5"/>
    <w:rsid w:val="17865B5F"/>
    <w:rsid w:val="17BD3EAD"/>
    <w:rsid w:val="180E03C2"/>
    <w:rsid w:val="18694035"/>
    <w:rsid w:val="188B3505"/>
    <w:rsid w:val="19055F0E"/>
    <w:rsid w:val="193C75D2"/>
    <w:rsid w:val="19464E8B"/>
    <w:rsid w:val="1985399A"/>
    <w:rsid w:val="1AAA5521"/>
    <w:rsid w:val="1B827E50"/>
    <w:rsid w:val="1B8A3D7F"/>
    <w:rsid w:val="1C845FA0"/>
    <w:rsid w:val="1C96296E"/>
    <w:rsid w:val="1D0D53CF"/>
    <w:rsid w:val="1D3A470B"/>
    <w:rsid w:val="1E0C030F"/>
    <w:rsid w:val="1E0D0E05"/>
    <w:rsid w:val="1E144A57"/>
    <w:rsid w:val="1E4F15D7"/>
    <w:rsid w:val="1EB458DE"/>
    <w:rsid w:val="1EDE189C"/>
    <w:rsid w:val="1FD24613"/>
    <w:rsid w:val="1FD47B4F"/>
    <w:rsid w:val="20071B08"/>
    <w:rsid w:val="206D5C84"/>
    <w:rsid w:val="20926492"/>
    <w:rsid w:val="20B415FA"/>
    <w:rsid w:val="20C67C3E"/>
    <w:rsid w:val="20FD5BA7"/>
    <w:rsid w:val="211B570F"/>
    <w:rsid w:val="211C2557"/>
    <w:rsid w:val="21403A0F"/>
    <w:rsid w:val="21A165ED"/>
    <w:rsid w:val="21D23AB1"/>
    <w:rsid w:val="21EC34A5"/>
    <w:rsid w:val="223E62C8"/>
    <w:rsid w:val="2274785E"/>
    <w:rsid w:val="232D6CA5"/>
    <w:rsid w:val="23520B02"/>
    <w:rsid w:val="236A6018"/>
    <w:rsid w:val="23890AC1"/>
    <w:rsid w:val="23C40371"/>
    <w:rsid w:val="240A185D"/>
    <w:rsid w:val="241A2687"/>
    <w:rsid w:val="247B7807"/>
    <w:rsid w:val="24900312"/>
    <w:rsid w:val="24931E86"/>
    <w:rsid w:val="250741AF"/>
    <w:rsid w:val="25255988"/>
    <w:rsid w:val="25C64627"/>
    <w:rsid w:val="260337EF"/>
    <w:rsid w:val="260A320C"/>
    <w:rsid w:val="26262FF1"/>
    <w:rsid w:val="262B7C6D"/>
    <w:rsid w:val="26653BD5"/>
    <w:rsid w:val="26977FBF"/>
    <w:rsid w:val="26E2384D"/>
    <w:rsid w:val="26FE7E00"/>
    <w:rsid w:val="272D3128"/>
    <w:rsid w:val="27C95FEB"/>
    <w:rsid w:val="27FC457D"/>
    <w:rsid w:val="28202240"/>
    <w:rsid w:val="28422B7C"/>
    <w:rsid w:val="28B87C55"/>
    <w:rsid w:val="28C73B35"/>
    <w:rsid w:val="28E83003"/>
    <w:rsid w:val="295A482A"/>
    <w:rsid w:val="296044C8"/>
    <w:rsid w:val="2A183372"/>
    <w:rsid w:val="2A521C1D"/>
    <w:rsid w:val="2A570191"/>
    <w:rsid w:val="2A8F792B"/>
    <w:rsid w:val="2A9B4995"/>
    <w:rsid w:val="2B4101B8"/>
    <w:rsid w:val="2B9F15C4"/>
    <w:rsid w:val="2BA14AC6"/>
    <w:rsid w:val="2C0F10E1"/>
    <w:rsid w:val="2D331317"/>
    <w:rsid w:val="2D8D5133"/>
    <w:rsid w:val="2E185F8C"/>
    <w:rsid w:val="2E9F5CA2"/>
    <w:rsid w:val="2EBA46F1"/>
    <w:rsid w:val="2F0B3377"/>
    <w:rsid w:val="2F7731D3"/>
    <w:rsid w:val="316A1E32"/>
    <w:rsid w:val="31F541D1"/>
    <w:rsid w:val="32157CE1"/>
    <w:rsid w:val="32190929"/>
    <w:rsid w:val="32235F97"/>
    <w:rsid w:val="322C3397"/>
    <w:rsid w:val="324E3EA1"/>
    <w:rsid w:val="325F52C1"/>
    <w:rsid w:val="330D6668"/>
    <w:rsid w:val="336C5DAC"/>
    <w:rsid w:val="3416483F"/>
    <w:rsid w:val="343958F2"/>
    <w:rsid w:val="34AE38F6"/>
    <w:rsid w:val="34E40A0B"/>
    <w:rsid w:val="35542952"/>
    <w:rsid w:val="35574A4A"/>
    <w:rsid w:val="359E4EF1"/>
    <w:rsid w:val="35C91CF6"/>
    <w:rsid w:val="35D974D1"/>
    <w:rsid w:val="362B6A5C"/>
    <w:rsid w:val="363C2239"/>
    <w:rsid w:val="36A52EEB"/>
    <w:rsid w:val="36F60945"/>
    <w:rsid w:val="37155703"/>
    <w:rsid w:val="39227BBC"/>
    <w:rsid w:val="39F90AA6"/>
    <w:rsid w:val="3A285377"/>
    <w:rsid w:val="3B6F151F"/>
    <w:rsid w:val="3B7108F3"/>
    <w:rsid w:val="3B906E7D"/>
    <w:rsid w:val="3CC72A65"/>
    <w:rsid w:val="3CCD42E3"/>
    <w:rsid w:val="3D00263D"/>
    <w:rsid w:val="3D843B59"/>
    <w:rsid w:val="3DBA0E43"/>
    <w:rsid w:val="3E491747"/>
    <w:rsid w:val="3E5F6D12"/>
    <w:rsid w:val="3EE710C2"/>
    <w:rsid w:val="3EE83D35"/>
    <w:rsid w:val="3F06588A"/>
    <w:rsid w:val="3F740A45"/>
    <w:rsid w:val="3F80049A"/>
    <w:rsid w:val="3F995C9F"/>
    <w:rsid w:val="3FBB016D"/>
    <w:rsid w:val="40621095"/>
    <w:rsid w:val="409B1B0A"/>
    <w:rsid w:val="410D1152"/>
    <w:rsid w:val="42002A64"/>
    <w:rsid w:val="427E3124"/>
    <w:rsid w:val="427E7B03"/>
    <w:rsid w:val="42956561"/>
    <w:rsid w:val="42AD7C2E"/>
    <w:rsid w:val="437163C7"/>
    <w:rsid w:val="43EA4894"/>
    <w:rsid w:val="44534F8B"/>
    <w:rsid w:val="44821831"/>
    <w:rsid w:val="449729E5"/>
    <w:rsid w:val="44E35217"/>
    <w:rsid w:val="45630354"/>
    <w:rsid w:val="458B5F23"/>
    <w:rsid w:val="45B660E3"/>
    <w:rsid w:val="461834DC"/>
    <w:rsid w:val="466D31B0"/>
    <w:rsid w:val="46F27128"/>
    <w:rsid w:val="47422765"/>
    <w:rsid w:val="475F7580"/>
    <w:rsid w:val="477672BD"/>
    <w:rsid w:val="477D265F"/>
    <w:rsid w:val="48152BE3"/>
    <w:rsid w:val="486637D4"/>
    <w:rsid w:val="48861F15"/>
    <w:rsid w:val="492928A1"/>
    <w:rsid w:val="49807290"/>
    <w:rsid w:val="49FA03D3"/>
    <w:rsid w:val="4A383295"/>
    <w:rsid w:val="4ADD3D9F"/>
    <w:rsid w:val="4AE32CE9"/>
    <w:rsid w:val="4B687B33"/>
    <w:rsid w:val="4B6B5664"/>
    <w:rsid w:val="4B9B55B2"/>
    <w:rsid w:val="4BAF19E2"/>
    <w:rsid w:val="4BC61156"/>
    <w:rsid w:val="4BF93AFD"/>
    <w:rsid w:val="4C623D3C"/>
    <w:rsid w:val="4CAB09BF"/>
    <w:rsid w:val="4CBF4D4B"/>
    <w:rsid w:val="4CFE3907"/>
    <w:rsid w:val="4D526CF6"/>
    <w:rsid w:val="4DB75D36"/>
    <w:rsid w:val="4DE26CF1"/>
    <w:rsid w:val="4E566C7B"/>
    <w:rsid w:val="4E842A8A"/>
    <w:rsid w:val="4FFB45D8"/>
    <w:rsid w:val="500C6415"/>
    <w:rsid w:val="511D2CEB"/>
    <w:rsid w:val="514A38EC"/>
    <w:rsid w:val="51506847"/>
    <w:rsid w:val="51A13392"/>
    <w:rsid w:val="51BE2340"/>
    <w:rsid w:val="53EE4E13"/>
    <w:rsid w:val="543D36A4"/>
    <w:rsid w:val="54526D42"/>
    <w:rsid w:val="547929B2"/>
    <w:rsid w:val="547F78DD"/>
    <w:rsid w:val="54A6514A"/>
    <w:rsid w:val="55D342B5"/>
    <w:rsid w:val="575765D0"/>
    <w:rsid w:val="58174D0D"/>
    <w:rsid w:val="58571B92"/>
    <w:rsid w:val="58616092"/>
    <w:rsid w:val="588E76A9"/>
    <w:rsid w:val="58DD729F"/>
    <w:rsid w:val="5900268E"/>
    <w:rsid w:val="591744C4"/>
    <w:rsid w:val="591A64F6"/>
    <w:rsid w:val="59791282"/>
    <w:rsid w:val="59A736FF"/>
    <w:rsid w:val="5A7B23A8"/>
    <w:rsid w:val="5A821D5E"/>
    <w:rsid w:val="5ABD7FD1"/>
    <w:rsid w:val="5AE63CBB"/>
    <w:rsid w:val="5AF01A2E"/>
    <w:rsid w:val="5B3F34F8"/>
    <w:rsid w:val="5B40057E"/>
    <w:rsid w:val="5DDB1F64"/>
    <w:rsid w:val="5DF10C4F"/>
    <w:rsid w:val="5F6C56A1"/>
    <w:rsid w:val="5FAE1111"/>
    <w:rsid w:val="603218A9"/>
    <w:rsid w:val="60335545"/>
    <w:rsid w:val="609868C0"/>
    <w:rsid w:val="6175594D"/>
    <w:rsid w:val="61D14C04"/>
    <w:rsid w:val="61D35BF6"/>
    <w:rsid w:val="61D92C5E"/>
    <w:rsid w:val="62731F0A"/>
    <w:rsid w:val="6308293E"/>
    <w:rsid w:val="63BF5E84"/>
    <w:rsid w:val="64572551"/>
    <w:rsid w:val="64743F6E"/>
    <w:rsid w:val="652C12F7"/>
    <w:rsid w:val="658D3628"/>
    <w:rsid w:val="65AB6581"/>
    <w:rsid w:val="6617066A"/>
    <w:rsid w:val="66467E15"/>
    <w:rsid w:val="667606E1"/>
    <w:rsid w:val="677F1D9B"/>
    <w:rsid w:val="678F3DD4"/>
    <w:rsid w:val="681736F7"/>
    <w:rsid w:val="68396844"/>
    <w:rsid w:val="690E655C"/>
    <w:rsid w:val="69FB5286"/>
    <w:rsid w:val="6A0C213D"/>
    <w:rsid w:val="6AA92929"/>
    <w:rsid w:val="6B1B4B13"/>
    <w:rsid w:val="6B7217FE"/>
    <w:rsid w:val="6BFF223D"/>
    <w:rsid w:val="6C866D48"/>
    <w:rsid w:val="6CB80CDB"/>
    <w:rsid w:val="6DAB2DE3"/>
    <w:rsid w:val="6E1517E1"/>
    <w:rsid w:val="6EAD16FA"/>
    <w:rsid w:val="6F1A57AF"/>
    <w:rsid w:val="6F233805"/>
    <w:rsid w:val="6F516023"/>
    <w:rsid w:val="6F8B2EE6"/>
    <w:rsid w:val="6FC32E89"/>
    <w:rsid w:val="705B2A2D"/>
    <w:rsid w:val="705E58F5"/>
    <w:rsid w:val="70607503"/>
    <w:rsid w:val="708159DE"/>
    <w:rsid w:val="70EB1180"/>
    <w:rsid w:val="71267E3E"/>
    <w:rsid w:val="71883D59"/>
    <w:rsid w:val="71DA102C"/>
    <w:rsid w:val="7258408D"/>
    <w:rsid w:val="727D1FE7"/>
    <w:rsid w:val="734B7734"/>
    <w:rsid w:val="73CE5D74"/>
    <w:rsid w:val="752F3759"/>
    <w:rsid w:val="75712149"/>
    <w:rsid w:val="75CF7FB6"/>
    <w:rsid w:val="760812DB"/>
    <w:rsid w:val="76224A31"/>
    <w:rsid w:val="77C82D0A"/>
    <w:rsid w:val="7829464C"/>
    <w:rsid w:val="788F4661"/>
    <w:rsid w:val="78957A98"/>
    <w:rsid w:val="78CE3215"/>
    <w:rsid w:val="78D83818"/>
    <w:rsid w:val="79BF22E2"/>
    <w:rsid w:val="7A144040"/>
    <w:rsid w:val="7A5C4782"/>
    <w:rsid w:val="7AA80FC8"/>
    <w:rsid w:val="7B937D0A"/>
    <w:rsid w:val="7BC02DE0"/>
    <w:rsid w:val="7BCB7664"/>
    <w:rsid w:val="7C0B2791"/>
    <w:rsid w:val="7C581208"/>
    <w:rsid w:val="7D3C214F"/>
    <w:rsid w:val="7D4B353D"/>
    <w:rsid w:val="7D4D0125"/>
    <w:rsid w:val="7D8E2059"/>
    <w:rsid w:val="7DA16F99"/>
    <w:rsid w:val="7E5E6FCF"/>
    <w:rsid w:val="7E8F2BCB"/>
    <w:rsid w:val="7F9D30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0"/>
    <w:qFormat/>
    <w:uiPriority w:val="0"/>
    <w:pPr>
      <w:keepNext/>
      <w:keepLines/>
      <w:spacing w:before="340" w:after="330" w:line="300" w:lineRule="auto"/>
      <w:jc w:val="center"/>
      <w:outlineLvl w:val="0"/>
    </w:pPr>
    <w:rPr>
      <w:b/>
      <w:bCs/>
      <w:kern w:val="44"/>
      <w:sz w:val="32"/>
      <w:szCs w:val="44"/>
    </w:rPr>
  </w:style>
  <w:style w:type="paragraph" w:styleId="4">
    <w:name w:val="heading 2"/>
    <w:basedOn w:val="1"/>
    <w:next w:val="1"/>
    <w:link w:val="101"/>
    <w:qFormat/>
    <w:uiPriority w:val="0"/>
    <w:pPr>
      <w:keepNext/>
      <w:keepLines/>
      <w:spacing w:before="260" w:after="260" w:line="415" w:lineRule="auto"/>
      <w:outlineLvl w:val="1"/>
    </w:pPr>
    <w:rPr>
      <w:rFonts w:ascii="Arial" w:hAnsi="Arial" w:eastAsia="黑体"/>
      <w:bCs/>
      <w:sz w:val="32"/>
      <w:szCs w:val="32"/>
    </w:rPr>
  </w:style>
  <w:style w:type="paragraph" w:styleId="5">
    <w:name w:val="heading 3"/>
    <w:basedOn w:val="1"/>
    <w:next w:val="1"/>
    <w:link w:val="100"/>
    <w:qFormat/>
    <w:uiPriority w:val="9"/>
    <w:pPr>
      <w:keepNext/>
      <w:keepLines/>
      <w:spacing w:before="120" w:after="120" w:line="300" w:lineRule="auto"/>
      <w:outlineLvl w:val="2"/>
    </w:pPr>
    <w:rPr>
      <w:rFonts w:ascii="宋体"/>
      <w:b/>
      <w:bCs/>
      <w:sz w:val="24"/>
      <w:szCs w:val="32"/>
    </w:rPr>
  </w:style>
  <w:style w:type="paragraph" w:styleId="6">
    <w:name w:val="heading 4"/>
    <w:basedOn w:val="1"/>
    <w:next w:val="1"/>
    <w:link w:val="113"/>
    <w:qFormat/>
    <w:uiPriority w:val="0"/>
    <w:pPr>
      <w:keepNext/>
      <w:keepLines/>
      <w:spacing w:line="300" w:lineRule="auto"/>
      <w:outlineLvl w:val="3"/>
    </w:pPr>
    <w:rPr>
      <w:rFonts w:ascii="Arial" w:hAnsi="Arial"/>
      <w:bCs/>
      <w:sz w:val="24"/>
      <w:szCs w:val="28"/>
    </w:rPr>
  </w:style>
  <w:style w:type="paragraph" w:styleId="7">
    <w:name w:val="heading 5"/>
    <w:basedOn w:val="1"/>
    <w:next w:val="1"/>
    <w:qFormat/>
    <w:uiPriority w:val="0"/>
    <w:pPr>
      <w:keepNext/>
      <w:keepLines/>
      <w:spacing w:before="280" w:after="290" w:line="374" w:lineRule="auto"/>
      <w:outlineLvl w:val="4"/>
    </w:pPr>
    <w:rPr>
      <w:b/>
      <w:bCs/>
      <w:sz w:val="28"/>
      <w:szCs w:val="28"/>
    </w:rPr>
  </w:style>
  <w:style w:type="paragraph" w:styleId="8">
    <w:name w:val="heading 6"/>
    <w:basedOn w:val="1"/>
    <w:next w:val="1"/>
    <w:qFormat/>
    <w:uiPriority w:val="0"/>
    <w:pPr>
      <w:keepNext/>
      <w:keepLines/>
      <w:spacing w:before="240" w:after="64" w:line="319" w:lineRule="auto"/>
      <w:outlineLvl w:val="5"/>
    </w:pPr>
    <w:rPr>
      <w:rFonts w:ascii="Arial" w:hAnsi="Arial" w:eastAsia="黑体"/>
      <w:b/>
      <w:bCs/>
      <w:sz w:val="24"/>
    </w:rPr>
  </w:style>
  <w:style w:type="paragraph" w:styleId="9">
    <w:name w:val="heading 7"/>
    <w:basedOn w:val="1"/>
    <w:next w:val="1"/>
    <w:link w:val="87"/>
    <w:qFormat/>
    <w:uiPriority w:val="9"/>
    <w:pPr>
      <w:keepNext/>
      <w:keepLines/>
      <w:spacing w:before="240" w:after="64" w:line="320" w:lineRule="auto"/>
      <w:outlineLvl w:val="6"/>
    </w:pPr>
    <w:rPr>
      <w:b/>
      <w:bCs/>
      <w:sz w:val="24"/>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4"/>
    <w:qFormat/>
    <w:uiPriority w:val="0"/>
    <w:rPr>
      <w:sz w:val="24"/>
    </w:rPr>
  </w:style>
  <w:style w:type="paragraph" w:styleId="10">
    <w:name w:val="toc 7"/>
    <w:basedOn w:val="1"/>
    <w:next w:val="1"/>
    <w:qFormat/>
    <w:uiPriority w:val="39"/>
    <w:pPr>
      <w:ind w:left="1260"/>
      <w:jc w:val="left"/>
    </w:pPr>
    <w:rPr>
      <w:szCs w:val="21"/>
    </w:rPr>
  </w:style>
  <w:style w:type="paragraph" w:styleId="11">
    <w:name w:val="Normal Indent"/>
    <w:basedOn w:val="1"/>
    <w:link w:val="91"/>
    <w:qFormat/>
    <w:uiPriority w:val="0"/>
    <w:pPr>
      <w:adjustRightInd w:val="0"/>
      <w:spacing w:line="312" w:lineRule="atLeast"/>
      <w:ind w:firstLine="420"/>
      <w:textAlignment w:val="baseline"/>
    </w:pPr>
    <w:rPr>
      <w:kern w:val="0"/>
      <w:szCs w:val="20"/>
    </w:rPr>
  </w:style>
  <w:style w:type="paragraph" w:styleId="12">
    <w:name w:val="caption"/>
    <w:basedOn w:val="1"/>
    <w:next w:val="1"/>
    <w:link w:val="90"/>
    <w:qFormat/>
    <w:uiPriority w:val="0"/>
    <w:rPr>
      <w:rFonts w:ascii="Arial" w:hAnsi="Arial" w:eastAsia="黑体"/>
      <w:sz w:val="20"/>
      <w:szCs w:val="20"/>
    </w:rPr>
  </w:style>
  <w:style w:type="paragraph" w:styleId="13">
    <w:name w:val="Document Map"/>
    <w:basedOn w:val="1"/>
    <w:link w:val="95"/>
    <w:qFormat/>
    <w:uiPriority w:val="0"/>
    <w:pPr>
      <w:shd w:val="clear" w:color="auto" w:fill="000080"/>
    </w:pPr>
  </w:style>
  <w:style w:type="paragraph" w:styleId="14">
    <w:name w:val="annotation text"/>
    <w:basedOn w:val="1"/>
    <w:link w:val="132"/>
    <w:qFormat/>
    <w:uiPriority w:val="0"/>
    <w:pPr>
      <w:jc w:val="left"/>
    </w:pPr>
  </w:style>
  <w:style w:type="paragraph" w:styleId="15">
    <w:name w:val="Body Text 3"/>
    <w:basedOn w:val="1"/>
    <w:link w:val="163"/>
    <w:qFormat/>
    <w:uiPriority w:val="0"/>
    <w:rPr>
      <w:color w:val="FF00FF"/>
    </w:rPr>
  </w:style>
  <w:style w:type="paragraph" w:styleId="16">
    <w:name w:val="Body Text Indent"/>
    <w:basedOn w:val="1"/>
    <w:next w:val="17"/>
    <w:link w:val="114"/>
    <w:qFormat/>
    <w:uiPriority w:val="0"/>
    <w:pPr>
      <w:ind w:left="853" w:leftChars="406" w:firstLine="490" w:firstLineChars="204"/>
    </w:pPr>
    <w:rPr>
      <w:rFonts w:ascii="宋体" w:hAnsi="宋体"/>
      <w:sz w:val="24"/>
    </w:rPr>
  </w:style>
  <w:style w:type="paragraph" w:styleId="17">
    <w:name w:val="envelope return"/>
    <w:basedOn w:val="1"/>
    <w:qFormat/>
    <w:uiPriority w:val="0"/>
    <w:pPr>
      <w:snapToGrid w:val="0"/>
    </w:pPr>
    <w:rPr>
      <w:rFonts w:ascii="Arial" w:hAnsi="Arial"/>
    </w:rPr>
  </w:style>
  <w:style w:type="paragraph" w:styleId="18">
    <w:name w:val="Block Text"/>
    <w:basedOn w:val="1"/>
    <w:qFormat/>
    <w:uiPriority w:val="0"/>
    <w:pPr>
      <w:spacing w:line="400" w:lineRule="atLeast"/>
      <w:ind w:left="-901" w:leftChars="-429" w:right="-899" w:rightChars="-428" w:firstLine="560" w:firstLineChars="200"/>
    </w:pPr>
    <w:rPr>
      <w:rFonts w:ascii="宋体" w:hAnsi="宋体"/>
      <w:sz w:val="28"/>
      <w:szCs w:val="24"/>
    </w:rPr>
  </w:style>
  <w:style w:type="paragraph" w:styleId="19">
    <w:name w:val="toc 5"/>
    <w:basedOn w:val="1"/>
    <w:next w:val="1"/>
    <w:qFormat/>
    <w:uiPriority w:val="39"/>
    <w:pPr>
      <w:ind w:left="840"/>
      <w:jc w:val="left"/>
    </w:pPr>
    <w:rPr>
      <w:szCs w:val="21"/>
    </w:rPr>
  </w:style>
  <w:style w:type="paragraph" w:styleId="20">
    <w:name w:val="toc 3"/>
    <w:basedOn w:val="1"/>
    <w:next w:val="1"/>
    <w:qFormat/>
    <w:uiPriority w:val="39"/>
    <w:pPr>
      <w:ind w:left="420"/>
      <w:jc w:val="left"/>
    </w:pPr>
    <w:rPr>
      <w:i/>
      <w:iCs/>
    </w:rPr>
  </w:style>
  <w:style w:type="paragraph" w:styleId="21">
    <w:name w:val="Plain Text"/>
    <w:basedOn w:val="1"/>
    <w:link w:val="62"/>
    <w:qFormat/>
    <w:uiPriority w:val="0"/>
    <w:rPr>
      <w:rFonts w:ascii="宋体" w:hAnsi="Courier New"/>
      <w:kern w:val="10"/>
      <w:szCs w:val="21"/>
    </w:rPr>
  </w:style>
  <w:style w:type="paragraph" w:styleId="22">
    <w:name w:val="toc 8"/>
    <w:basedOn w:val="1"/>
    <w:next w:val="1"/>
    <w:qFormat/>
    <w:uiPriority w:val="39"/>
    <w:pPr>
      <w:ind w:left="1470"/>
      <w:jc w:val="left"/>
    </w:pPr>
    <w:rPr>
      <w:szCs w:val="21"/>
    </w:rPr>
  </w:style>
  <w:style w:type="paragraph" w:styleId="23">
    <w:name w:val="Date"/>
    <w:basedOn w:val="1"/>
    <w:next w:val="1"/>
    <w:qFormat/>
    <w:uiPriority w:val="0"/>
    <w:pPr>
      <w:ind w:left="100" w:leftChars="2500"/>
    </w:pPr>
    <w:rPr>
      <w:color w:val="0000FF"/>
      <w:sz w:val="24"/>
    </w:rPr>
  </w:style>
  <w:style w:type="paragraph" w:styleId="24">
    <w:name w:val="Body Text Indent 2"/>
    <w:basedOn w:val="1"/>
    <w:link w:val="116"/>
    <w:qFormat/>
    <w:uiPriority w:val="0"/>
    <w:pPr>
      <w:ind w:left="899" w:leftChars="428" w:firstLine="456" w:firstLineChars="217"/>
    </w:pPr>
  </w:style>
  <w:style w:type="paragraph" w:styleId="25">
    <w:name w:val="Balloon Text"/>
    <w:basedOn w:val="1"/>
    <w:link w:val="131"/>
    <w:qFormat/>
    <w:uiPriority w:val="0"/>
    <w:rPr>
      <w:sz w:val="18"/>
      <w:szCs w:val="18"/>
    </w:rPr>
  </w:style>
  <w:style w:type="paragraph" w:styleId="26">
    <w:name w:val="footer"/>
    <w:basedOn w:val="1"/>
    <w:link w:val="104"/>
    <w:qFormat/>
    <w:uiPriority w:val="99"/>
    <w:pPr>
      <w:tabs>
        <w:tab w:val="center" w:pos="4153"/>
        <w:tab w:val="right" w:pos="8306"/>
      </w:tabs>
      <w:snapToGrid w:val="0"/>
      <w:jc w:val="left"/>
    </w:pPr>
    <w:rPr>
      <w:sz w:val="18"/>
      <w:szCs w:val="18"/>
    </w:rPr>
  </w:style>
  <w:style w:type="paragraph" w:styleId="27">
    <w:name w:val="header"/>
    <w:basedOn w:val="1"/>
    <w:next w:val="18"/>
    <w:link w:val="99"/>
    <w:qFormat/>
    <w:uiPriority w:val="99"/>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spacing w:before="120" w:after="120"/>
      <w:jc w:val="left"/>
    </w:pPr>
    <w:rPr>
      <w:b/>
      <w:bCs/>
      <w:caps/>
    </w:rPr>
  </w:style>
  <w:style w:type="paragraph" w:styleId="29">
    <w:name w:val="toc 4"/>
    <w:basedOn w:val="1"/>
    <w:next w:val="1"/>
    <w:qFormat/>
    <w:uiPriority w:val="39"/>
    <w:pPr>
      <w:ind w:left="630"/>
      <w:jc w:val="left"/>
    </w:pPr>
    <w:rPr>
      <w:szCs w:val="21"/>
    </w:rPr>
  </w:style>
  <w:style w:type="paragraph" w:styleId="30">
    <w:name w:val="Subtitle"/>
    <w:basedOn w:val="1"/>
    <w:next w:val="1"/>
    <w:link w:val="119"/>
    <w:qFormat/>
    <w:uiPriority w:val="0"/>
    <w:pPr>
      <w:spacing w:beforeLines="50" w:afterLines="50" w:line="360" w:lineRule="auto"/>
      <w:ind w:firstLine="200" w:firstLineChars="200"/>
      <w:jc w:val="left"/>
      <w:outlineLvl w:val="1"/>
    </w:pPr>
    <w:rPr>
      <w:rFonts w:ascii="Cambria" w:hAnsi="Cambria" w:eastAsia="黑体"/>
      <w:bCs/>
      <w:kern w:val="28"/>
      <w:sz w:val="28"/>
      <w:szCs w:val="32"/>
    </w:rPr>
  </w:style>
  <w:style w:type="paragraph" w:styleId="31">
    <w:name w:val="List"/>
    <w:basedOn w:val="1"/>
    <w:qFormat/>
    <w:uiPriority w:val="0"/>
    <w:pPr>
      <w:ind w:left="200" w:hanging="200" w:hangingChars="200"/>
    </w:pPr>
    <w:rPr>
      <w:sz w:val="28"/>
      <w:szCs w:val="28"/>
    </w:rPr>
  </w:style>
  <w:style w:type="paragraph" w:styleId="32">
    <w:name w:val="toc 6"/>
    <w:basedOn w:val="1"/>
    <w:next w:val="1"/>
    <w:qFormat/>
    <w:uiPriority w:val="39"/>
    <w:pPr>
      <w:ind w:left="1050"/>
      <w:jc w:val="left"/>
    </w:pPr>
    <w:rPr>
      <w:szCs w:val="21"/>
    </w:rPr>
  </w:style>
  <w:style w:type="paragraph" w:styleId="33">
    <w:name w:val="Body Text Indent 3"/>
    <w:basedOn w:val="1"/>
    <w:link w:val="117"/>
    <w:qFormat/>
    <w:uiPriority w:val="0"/>
    <w:pPr>
      <w:ind w:left="899" w:leftChars="428" w:firstLine="458" w:firstLineChars="218"/>
    </w:pPr>
  </w:style>
  <w:style w:type="paragraph" w:styleId="34">
    <w:name w:val="table of figures"/>
    <w:basedOn w:val="1"/>
    <w:next w:val="1"/>
    <w:qFormat/>
    <w:uiPriority w:val="0"/>
    <w:pPr>
      <w:ind w:left="840" w:leftChars="200" w:hanging="420" w:hangingChars="200"/>
    </w:pPr>
  </w:style>
  <w:style w:type="paragraph" w:styleId="35">
    <w:name w:val="toc 2"/>
    <w:basedOn w:val="1"/>
    <w:next w:val="1"/>
    <w:qFormat/>
    <w:uiPriority w:val="39"/>
    <w:pPr>
      <w:ind w:left="210"/>
      <w:jc w:val="left"/>
    </w:pPr>
    <w:rPr>
      <w:smallCaps/>
    </w:rPr>
  </w:style>
  <w:style w:type="paragraph" w:styleId="36">
    <w:name w:val="toc 9"/>
    <w:basedOn w:val="1"/>
    <w:next w:val="1"/>
    <w:qFormat/>
    <w:uiPriority w:val="39"/>
    <w:pPr>
      <w:ind w:left="1680"/>
      <w:jc w:val="left"/>
    </w:pPr>
    <w:rPr>
      <w:szCs w:val="21"/>
    </w:rPr>
  </w:style>
  <w:style w:type="paragraph" w:styleId="37">
    <w:name w:val="Body Text 2"/>
    <w:basedOn w:val="1"/>
    <w:qFormat/>
    <w:uiPriority w:val="0"/>
    <w:rPr>
      <w:color w:val="FF0000"/>
      <w:sz w:val="24"/>
    </w:rPr>
  </w:style>
  <w:style w:type="paragraph" w:styleId="38">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1">
    <w:name w:val="Title"/>
    <w:basedOn w:val="1"/>
    <w:next w:val="1"/>
    <w:link w:val="105"/>
    <w:qFormat/>
    <w:uiPriority w:val="0"/>
    <w:pPr>
      <w:spacing w:before="240" w:after="60"/>
      <w:jc w:val="center"/>
      <w:outlineLvl w:val="0"/>
    </w:pPr>
    <w:rPr>
      <w:rFonts w:ascii="Cambria" w:hAnsi="Cambria"/>
      <w:b/>
      <w:sz w:val="44"/>
      <w:szCs w:val="20"/>
    </w:rPr>
  </w:style>
  <w:style w:type="paragraph" w:styleId="42">
    <w:name w:val="annotation subject"/>
    <w:basedOn w:val="14"/>
    <w:next w:val="14"/>
    <w:qFormat/>
    <w:uiPriority w:val="0"/>
    <w:rPr>
      <w:b/>
      <w:bCs/>
    </w:rPr>
  </w:style>
  <w:style w:type="paragraph" w:styleId="43">
    <w:name w:val="Body Text First Indent"/>
    <w:basedOn w:val="2"/>
    <w:qFormat/>
    <w:uiPriority w:val="0"/>
    <w:pPr>
      <w:spacing w:after="120"/>
      <w:ind w:firstLine="420" w:firstLineChars="100"/>
      <w:jc w:val="both"/>
    </w:pPr>
  </w:style>
  <w:style w:type="paragraph" w:styleId="44">
    <w:name w:val="Body Text First Indent 2"/>
    <w:basedOn w:val="16"/>
    <w:unhideWhenUsed/>
    <w:qFormat/>
    <w:uiPriority w:val="0"/>
    <w:pPr>
      <w:spacing w:after="120"/>
      <w:ind w:left="420" w:leftChars="200" w:firstLine="420" w:firstLineChars="200"/>
    </w:pPr>
    <w:rPr>
      <w:sz w:val="30"/>
      <w:szCs w:val="20"/>
    </w:rPr>
  </w:style>
  <w:style w:type="table" w:styleId="46">
    <w:name w:val="Table Grid"/>
    <w:basedOn w:val="45"/>
    <w:unhideWhenUse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99"/>
    <w:rPr>
      <w:color w:val="800080"/>
      <w:u w:val="single"/>
    </w:rPr>
  </w:style>
  <w:style w:type="character" w:styleId="51">
    <w:name w:val="Emphasis"/>
    <w:qFormat/>
    <w:uiPriority w:val="0"/>
    <w:rPr>
      <w:i/>
      <w:iCs/>
    </w:rPr>
  </w:style>
  <w:style w:type="character" w:styleId="52">
    <w:name w:val="Hyperlink"/>
    <w:qFormat/>
    <w:uiPriority w:val="99"/>
    <w:rPr>
      <w:color w:val="0000FF"/>
      <w:u w:val="single"/>
    </w:rPr>
  </w:style>
  <w:style w:type="character" w:styleId="53">
    <w:name w:val="annotation reference"/>
    <w:qFormat/>
    <w:uiPriority w:val="0"/>
    <w:rPr>
      <w:sz w:val="21"/>
      <w:szCs w:val="21"/>
    </w:rPr>
  </w:style>
  <w:style w:type="character" w:styleId="54">
    <w:name w:val="HTML Cite"/>
    <w:basedOn w:val="47"/>
    <w:semiHidden/>
    <w:unhideWhenUsed/>
    <w:qFormat/>
    <w:uiPriority w:val="99"/>
    <w:rPr>
      <w:color w:val="008000"/>
    </w:rPr>
  </w:style>
  <w:style w:type="paragraph" w:customStyle="1" w:styleId="55">
    <w:name w:val="Default"/>
    <w:link w:val="164"/>
    <w:qFormat/>
    <w:uiPriority w:val="0"/>
    <w:pPr>
      <w:widowControl w:val="0"/>
      <w:autoSpaceDE w:val="0"/>
      <w:autoSpaceDN w:val="0"/>
    </w:pPr>
    <w:rPr>
      <w:rFonts w:hint="eastAsia" w:ascii="微软雅黑" w:hAnsi="微软雅黑" w:eastAsia="微软雅黑" w:cs="Times New Roman"/>
      <w:color w:val="000000"/>
      <w:sz w:val="24"/>
      <w:lang w:val="en-US" w:eastAsia="zh-CN" w:bidi="ar-SA"/>
    </w:rPr>
  </w:style>
  <w:style w:type="paragraph" w:customStyle="1" w:styleId="56">
    <w:name w:val="TOC 标题1"/>
    <w:basedOn w:val="3"/>
    <w:next w:val="1"/>
    <w:qFormat/>
    <w:uiPriority w:val="39"/>
    <w:pPr>
      <w:widowControl/>
      <w:spacing w:before="240" w:after="0" w:line="259" w:lineRule="auto"/>
      <w:jc w:val="left"/>
      <w:outlineLvl w:val="9"/>
    </w:pPr>
    <w:rPr>
      <w:rFonts w:ascii="Cambria" w:hAnsi="Cambria"/>
      <w:b w:val="0"/>
      <w:bCs w:val="0"/>
      <w:color w:val="365F91"/>
      <w:kern w:val="0"/>
      <w:szCs w:val="32"/>
    </w:rPr>
  </w:style>
  <w:style w:type="paragraph" w:customStyle="1" w:styleId="57">
    <w:name w:val="样式 首行缩进:  2 字符"/>
    <w:basedOn w:val="1"/>
    <w:qFormat/>
    <w:uiPriority w:val="0"/>
    <w:pPr>
      <w:ind w:firstLine="560"/>
    </w:pPr>
    <w:rPr>
      <w:rFonts w:eastAsia="仿宋_GB2312" w:cs="宋体"/>
    </w:rPr>
  </w:style>
  <w:style w:type="character" w:customStyle="1" w:styleId="58">
    <w:name w:val="style41"/>
    <w:qFormat/>
    <w:uiPriority w:val="0"/>
    <w:rPr>
      <w:color w:val="666666"/>
      <w:sz w:val="18"/>
      <w:szCs w:val="18"/>
    </w:rPr>
  </w:style>
  <w:style w:type="character" w:customStyle="1" w:styleId="59">
    <w:name w:val="141"/>
    <w:qFormat/>
    <w:uiPriority w:val="0"/>
    <w:rPr>
      <w:sz w:val="28"/>
      <w:szCs w:val="28"/>
    </w:rPr>
  </w:style>
  <w:style w:type="character" w:customStyle="1" w:styleId="60">
    <w:name w:val="style741"/>
    <w:qFormat/>
    <w:uiPriority w:val="0"/>
    <w:rPr>
      <w:rFonts w:cs="Times New Roman"/>
      <w:color w:val="666666"/>
    </w:rPr>
  </w:style>
  <w:style w:type="character" w:customStyle="1" w:styleId="61">
    <w:name w:val="d1"/>
    <w:qFormat/>
    <w:uiPriority w:val="0"/>
    <w:rPr>
      <w:color w:val="000000"/>
      <w:sz w:val="21"/>
      <w:szCs w:val="21"/>
      <w:u w:val="none"/>
    </w:rPr>
  </w:style>
  <w:style w:type="character" w:customStyle="1" w:styleId="62">
    <w:name w:val="纯文本 字符"/>
    <w:link w:val="21"/>
    <w:qFormat/>
    <w:locked/>
    <w:uiPriority w:val="0"/>
    <w:rPr>
      <w:rFonts w:ascii="宋体" w:hAnsi="Courier New" w:eastAsia="宋体"/>
      <w:kern w:val="10"/>
      <w:sz w:val="21"/>
      <w:szCs w:val="21"/>
      <w:lang w:val="en-US" w:eastAsia="zh-CN" w:bidi="ar-SA"/>
    </w:rPr>
  </w:style>
  <w:style w:type="character" w:customStyle="1" w:styleId="63">
    <w:name w:val="apple-converted-space"/>
    <w:basedOn w:val="47"/>
    <w:qFormat/>
    <w:uiPriority w:val="0"/>
  </w:style>
  <w:style w:type="character" w:customStyle="1" w:styleId="64">
    <w:name w:val="正文文本 字符"/>
    <w:link w:val="2"/>
    <w:qFormat/>
    <w:uiPriority w:val="0"/>
    <w:rPr>
      <w:rFonts w:eastAsia="宋体"/>
      <w:kern w:val="2"/>
      <w:sz w:val="24"/>
      <w:szCs w:val="24"/>
      <w:lang w:val="en-US" w:eastAsia="zh-CN" w:bidi="ar-SA"/>
    </w:rPr>
  </w:style>
  <w:style w:type="paragraph" w:customStyle="1" w:styleId="65">
    <w:name w:val="Char Char6"/>
    <w:basedOn w:val="1"/>
    <w:qFormat/>
    <w:uiPriority w:val="0"/>
    <w:pPr>
      <w:widowControl/>
      <w:spacing w:after="160" w:line="240" w:lineRule="exact"/>
      <w:jc w:val="left"/>
    </w:pPr>
  </w:style>
  <w:style w:type="paragraph" w:customStyle="1" w:styleId="66">
    <w:name w:val="Char Char Char Char Char Char Char Char Char Char Char Char Char Char Char Char"/>
    <w:basedOn w:val="1"/>
    <w:qFormat/>
    <w:uiPriority w:val="0"/>
    <w:rPr>
      <w:rFonts w:ascii="Tahoma" w:hAnsi="Tahoma"/>
      <w:sz w:val="24"/>
      <w:szCs w:val="20"/>
    </w:rPr>
  </w:style>
  <w:style w:type="paragraph" w:customStyle="1" w:styleId="67">
    <w:name w:val="indent_2em1"/>
    <w:basedOn w:val="1"/>
    <w:qFormat/>
    <w:uiPriority w:val="0"/>
    <w:pPr>
      <w:widowControl/>
      <w:spacing w:line="300" w:lineRule="atLeast"/>
      <w:ind w:firstLine="480"/>
      <w:jc w:val="left"/>
    </w:pPr>
    <w:rPr>
      <w:rFonts w:ascii="宋体" w:hAnsi="宋体" w:cs="宋体"/>
      <w:spacing w:val="15"/>
      <w:kern w:val="0"/>
      <w:sz w:val="24"/>
    </w:rPr>
  </w:style>
  <w:style w:type="paragraph" w:customStyle="1" w:styleId="68">
    <w:name w:val="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paragraph" w:customStyle="1" w:styleId="69">
    <w:name w:val="p0"/>
    <w:basedOn w:val="1"/>
    <w:unhideWhenUsed/>
    <w:qFormat/>
    <w:uiPriority w:val="99"/>
    <w:pPr>
      <w:widowControl/>
    </w:pPr>
    <w:rPr>
      <w:rFonts w:hint="eastAsia"/>
    </w:rPr>
  </w:style>
  <w:style w:type="paragraph" w:customStyle="1" w:styleId="70">
    <w:name w:val="indent_2em"/>
    <w:basedOn w:val="1"/>
    <w:qFormat/>
    <w:uiPriority w:val="0"/>
    <w:pPr>
      <w:widowControl/>
      <w:spacing w:before="100" w:beforeAutospacing="1" w:after="100" w:afterAutospacing="1"/>
      <w:jc w:val="left"/>
    </w:pPr>
    <w:rPr>
      <w:rFonts w:ascii="宋体" w:hAnsi="宋体" w:cs="宋体"/>
      <w:kern w:val="0"/>
      <w:sz w:val="24"/>
    </w:rPr>
  </w:style>
  <w:style w:type="paragraph" w:customStyle="1" w:styleId="71">
    <w:name w:val="Char Char Char Char Char Char Char Char Char Char Char Char Char Char Char Char Char Char Char"/>
    <w:basedOn w:val="1"/>
    <w:qFormat/>
    <w:uiPriority w:val="0"/>
    <w:pPr>
      <w:widowControl/>
      <w:spacing w:after="160" w:line="240" w:lineRule="exact"/>
      <w:jc w:val="left"/>
    </w:pPr>
  </w:style>
  <w:style w:type="paragraph" w:customStyle="1" w:styleId="7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xiao b"/>
    <w:basedOn w:val="1"/>
    <w:qFormat/>
    <w:uiPriority w:val="0"/>
    <w:pPr>
      <w:jc w:val="center"/>
    </w:pPr>
    <w:rPr>
      <w:rFonts w:eastAsia="黑体"/>
      <w:sz w:val="24"/>
      <w:szCs w:val="20"/>
    </w:rPr>
  </w:style>
  <w:style w:type="paragraph" w:customStyle="1" w:styleId="74">
    <w:name w:val="p16"/>
    <w:basedOn w:val="1"/>
    <w:qFormat/>
    <w:uiPriority w:val="0"/>
    <w:pPr>
      <w:widowControl/>
      <w:spacing w:before="100" w:beforeAutospacing="1" w:after="100" w:afterAutospacing="1"/>
      <w:jc w:val="left"/>
    </w:pPr>
    <w:rPr>
      <w:rFonts w:ascii="宋体" w:hAnsi="宋体" w:cs="宋体"/>
      <w:kern w:val="0"/>
      <w:sz w:val="24"/>
    </w:rPr>
  </w:style>
  <w:style w:type="paragraph" w:customStyle="1" w:styleId="75">
    <w:name w:val="Char"/>
    <w:basedOn w:val="1"/>
    <w:qFormat/>
    <w:uiPriority w:val="0"/>
    <w:pPr>
      <w:tabs>
        <w:tab w:val="left" w:pos="420"/>
      </w:tabs>
      <w:ind w:left="420" w:hanging="420"/>
    </w:pPr>
    <w:rPr>
      <w:szCs w:val="20"/>
    </w:rPr>
  </w:style>
  <w:style w:type="paragraph" w:customStyle="1" w:styleId="76">
    <w:name w:val="_Style 32"/>
    <w:basedOn w:val="1"/>
    <w:next w:val="37"/>
    <w:qFormat/>
    <w:uiPriority w:val="0"/>
    <w:pPr>
      <w:spacing w:after="120" w:line="480" w:lineRule="auto"/>
    </w:pPr>
    <w:rPr>
      <w:szCs w:val="20"/>
    </w:rPr>
  </w:style>
  <w:style w:type="paragraph" w:customStyle="1" w:styleId="77">
    <w:name w:val="表内文字"/>
    <w:basedOn w:val="1"/>
    <w:qFormat/>
    <w:uiPriority w:val="0"/>
    <w:pPr>
      <w:tabs>
        <w:tab w:val="left" w:pos="1418"/>
      </w:tabs>
      <w:spacing w:line="360" w:lineRule="auto"/>
      <w:jc w:val="center"/>
    </w:pPr>
    <w:rPr>
      <w:rFonts w:ascii="仿宋_GB2312" w:eastAsia="仿宋_GB2312" w:cs="仿宋_GB2312"/>
      <w:spacing w:val="-20"/>
      <w:kern w:val="0"/>
      <w:sz w:val="24"/>
    </w:rPr>
  </w:style>
  <w:style w:type="paragraph" w:customStyle="1" w:styleId="78">
    <w:name w:val="Char Char Char Char Char Char"/>
    <w:basedOn w:val="1"/>
    <w:qFormat/>
    <w:uiPriority w:val="0"/>
  </w:style>
  <w:style w:type="paragraph" w:customStyle="1" w:styleId="79">
    <w:name w:val="列出段落1"/>
    <w:basedOn w:val="1"/>
    <w:link w:val="88"/>
    <w:qFormat/>
    <w:uiPriority w:val="34"/>
    <w:pPr>
      <w:ind w:firstLine="420" w:firstLineChars="200"/>
    </w:pPr>
  </w:style>
  <w:style w:type="paragraph" w:customStyle="1" w:styleId="80">
    <w:name w:val="style75"/>
    <w:basedOn w:val="1"/>
    <w:qFormat/>
    <w:uiPriority w:val="0"/>
    <w:pPr>
      <w:widowControl/>
      <w:spacing w:before="100" w:beforeAutospacing="1" w:after="100" w:afterAutospacing="1"/>
      <w:jc w:val="left"/>
    </w:pPr>
    <w:rPr>
      <w:rFonts w:ascii="宋体" w:hAnsi="宋体" w:cs="宋体"/>
      <w:color w:val="666666"/>
      <w:kern w:val="0"/>
      <w:sz w:val="15"/>
      <w:szCs w:val="15"/>
    </w:rPr>
  </w:style>
  <w:style w:type="paragraph" w:customStyle="1" w:styleId="81">
    <w:name w:val="Char Char Char Char"/>
    <w:basedOn w:val="13"/>
    <w:qFormat/>
    <w:uiPriority w:val="0"/>
    <w:rPr>
      <w:rFonts w:ascii="Tahoma" w:hAnsi="Tahoma"/>
      <w:sz w:val="24"/>
    </w:rPr>
  </w:style>
  <w:style w:type="paragraph" w:customStyle="1" w:styleId="82">
    <w:name w:val="正文2"/>
    <w:basedOn w:val="2"/>
    <w:qFormat/>
    <w:uiPriority w:val="0"/>
    <w:pPr>
      <w:spacing w:line="360" w:lineRule="auto"/>
      <w:ind w:firstLine="480" w:firstLineChars="200"/>
    </w:pPr>
    <w:rPr>
      <w:rFonts w:ascii="宋体"/>
    </w:rPr>
  </w:style>
  <w:style w:type="paragraph" w:customStyle="1" w:styleId="83">
    <w:name w:val="编写建议 Char"/>
    <w:basedOn w:val="1"/>
    <w:link w:val="84"/>
    <w:qFormat/>
    <w:uiPriority w:val="0"/>
    <w:pPr>
      <w:autoSpaceDE w:val="0"/>
      <w:autoSpaceDN w:val="0"/>
      <w:adjustRightInd w:val="0"/>
      <w:spacing w:line="360" w:lineRule="auto"/>
      <w:ind w:firstLine="420" w:firstLineChars="200"/>
      <w:jc w:val="left"/>
    </w:pPr>
    <w:rPr>
      <w:rFonts w:ascii="Arial" w:hAnsi="Arial"/>
      <w:i/>
      <w:color w:val="0000FF"/>
      <w:kern w:val="0"/>
      <w:sz w:val="20"/>
      <w:szCs w:val="21"/>
    </w:rPr>
  </w:style>
  <w:style w:type="character" w:customStyle="1" w:styleId="84">
    <w:name w:val="编写建议 Char Char"/>
    <w:link w:val="83"/>
    <w:qFormat/>
    <w:uiPriority w:val="0"/>
    <w:rPr>
      <w:rFonts w:ascii="Arial" w:hAnsi="Arial"/>
      <w:i/>
      <w:color w:val="0000FF"/>
      <w:szCs w:val="21"/>
    </w:rPr>
  </w:style>
  <w:style w:type="paragraph" w:customStyle="1" w:styleId="85">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86">
    <w:name w:val="Char Char Char"/>
    <w:basedOn w:val="1"/>
    <w:qFormat/>
    <w:uiPriority w:val="0"/>
    <w:rPr>
      <w:rFonts w:ascii="Tahoma" w:hAnsi="Tahoma"/>
      <w:sz w:val="24"/>
      <w:szCs w:val="20"/>
    </w:rPr>
  </w:style>
  <w:style w:type="character" w:customStyle="1" w:styleId="87">
    <w:name w:val="标题 7 字符"/>
    <w:link w:val="9"/>
    <w:semiHidden/>
    <w:qFormat/>
    <w:uiPriority w:val="9"/>
    <w:rPr>
      <w:b/>
      <w:bCs/>
      <w:kern w:val="2"/>
      <w:sz w:val="24"/>
      <w:szCs w:val="24"/>
    </w:rPr>
  </w:style>
  <w:style w:type="character" w:customStyle="1" w:styleId="88">
    <w:name w:val="列出段落 Char"/>
    <w:link w:val="79"/>
    <w:qFormat/>
    <w:uiPriority w:val="34"/>
    <w:rPr>
      <w:kern w:val="2"/>
      <w:sz w:val="21"/>
      <w:szCs w:val="24"/>
    </w:rPr>
  </w:style>
  <w:style w:type="character" w:customStyle="1" w:styleId="89">
    <w:name w:val="small18"/>
    <w:qFormat/>
    <w:uiPriority w:val="0"/>
  </w:style>
  <w:style w:type="character" w:customStyle="1" w:styleId="90">
    <w:name w:val="题注 字符"/>
    <w:link w:val="12"/>
    <w:qFormat/>
    <w:locked/>
    <w:uiPriority w:val="0"/>
    <w:rPr>
      <w:rFonts w:ascii="Arial" w:hAnsi="Arial" w:eastAsia="黑体" w:cs="Arial"/>
      <w:kern w:val="2"/>
    </w:rPr>
  </w:style>
  <w:style w:type="character" w:customStyle="1" w:styleId="91">
    <w:name w:val="正文缩进 字符"/>
    <w:link w:val="11"/>
    <w:qFormat/>
    <w:uiPriority w:val="0"/>
    <w:rPr>
      <w:sz w:val="21"/>
    </w:rPr>
  </w:style>
  <w:style w:type="paragraph" w:customStyle="1" w:styleId="92">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93">
    <w:name w:val="列出段落11"/>
    <w:basedOn w:val="1"/>
    <w:qFormat/>
    <w:uiPriority w:val="0"/>
    <w:pPr>
      <w:ind w:firstLine="420" w:firstLineChars="200"/>
    </w:pPr>
    <w:rPr>
      <w:rFonts w:ascii="Calibri" w:hAnsi="Calibri" w:cs="黑体"/>
      <w:szCs w:val="22"/>
    </w:rPr>
  </w:style>
  <w:style w:type="character" w:customStyle="1" w:styleId="94">
    <w:name w:val="普通文字 Char Char1"/>
    <w:qFormat/>
    <w:locked/>
    <w:uiPriority w:val="0"/>
    <w:rPr>
      <w:rFonts w:ascii="宋体" w:hAnsi="Courier New" w:eastAsia="宋体"/>
      <w:kern w:val="10"/>
      <w:sz w:val="21"/>
      <w:szCs w:val="21"/>
      <w:lang w:val="en-US" w:eastAsia="zh-CN" w:bidi="ar-SA"/>
    </w:rPr>
  </w:style>
  <w:style w:type="character" w:customStyle="1" w:styleId="95">
    <w:name w:val="文档结构图 字符"/>
    <w:link w:val="13"/>
    <w:qFormat/>
    <w:uiPriority w:val="0"/>
    <w:rPr>
      <w:kern w:val="2"/>
      <w:sz w:val="21"/>
      <w:szCs w:val="24"/>
      <w:shd w:val="clear" w:color="auto" w:fill="000080"/>
    </w:rPr>
  </w:style>
  <w:style w:type="paragraph" w:customStyle="1" w:styleId="96">
    <w:name w:val="普通 (Web)"/>
    <w:basedOn w:val="1"/>
    <w:qFormat/>
    <w:uiPriority w:val="0"/>
    <w:pPr>
      <w:widowControl/>
      <w:spacing w:before="100" w:after="100"/>
      <w:jc w:val="left"/>
    </w:pPr>
    <w:rPr>
      <w:rFonts w:ascii="宋体" w:hAnsi="宋体"/>
      <w:kern w:val="0"/>
      <w:sz w:val="24"/>
      <w:szCs w:val="20"/>
    </w:rPr>
  </w:style>
  <w:style w:type="paragraph" w:customStyle="1" w:styleId="97">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8">
    <w:name w:val="style4"/>
    <w:basedOn w:val="1"/>
    <w:qFormat/>
    <w:uiPriority w:val="0"/>
    <w:pPr>
      <w:widowControl/>
      <w:spacing w:before="100" w:beforeAutospacing="1" w:after="100" w:afterAutospacing="1"/>
      <w:jc w:val="left"/>
    </w:pPr>
    <w:rPr>
      <w:rFonts w:ascii="Arial" w:hAnsi="Arial" w:cs="Arial"/>
      <w:kern w:val="0"/>
      <w:sz w:val="18"/>
      <w:szCs w:val="18"/>
    </w:rPr>
  </w:style>
  <w:style w:type="character" w:customStyle="1" w:styleId="99">
    <w:name w:val="页眉 字符"/>
    <w:link w:val="27"/>
    <w:qFormat/>
    <w:uiPriority w:val="99"/>
    <w:rPr>
      <w:kern w:val="2"/>
      <w:sz w:val="18"/>
      <w:szCs w:val="18"/>
    </w:rPr>
  </w:style>
  <w:style w:type="character" w:customStyle="1" w:styleId="100">
    <w:name w:val="标题 3 字符"/>
    <w:link w:val="5"/>
    <w:qFormat/>
    <w:uiPriority w:val="9"/>
    <w:rPr>
      <w:rFonts w:ascii="宋体"/>
      <w:b/>
      <w:bCs/>
      <w:kern w:val="2"/>
      <w:sz w:val="24"/>
      <w:szCs w:val="32"/>
    </w:rPr>
  </w:style>
  <w:style w:type="character" w:customStyle="1" w:styleId="101">
    <w:name w:val="标题 2 字符"/>
    <w:link w:val="4"/>
    <w:qFormat/>
    <w:uiPriority w:val="0"/>
    <w:rPr>
      <w:rFonts w:ascii="Arial" w:hAnsi="Arial" w:eastAsia="黑体"/>
      <w:bCs/>
      <w:kern w:val="2"/>
      <w:sz w:val="32"/>
      <w:szCs w:val="32"/>
    </w:rPr>
  </w:style>
  <w:style w:type="paragraph" w:customStyle="1" w:styleId="102">
    <w:name w:val="style4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3">
    <w:name w:val="样式 样式 样式 左侧:  2 字符1 + 首行缩进:  2 字符1 + 首行缩进:  2 字符"/>
    <w:basedOn w:val="1"/>
    <w:qFormat/>
    <w:uiPriority w:val="0"/>
    <w:pPr>
      <w:widowControl/>
      <w:adjustRightInd w:val="0"/>
      <w:spacing w:before="60" w:after="120" w:line="440" w:lineRule="atLeast"/>
      <w:ind w:firstLine="480"/>
      <w:textAlignment w:val="baseline"/>
    </w:pPr>
    <w:rPr>
      <w:sz w:val="24"/>
      <w:szCs w:val="20"/>
    </w:rPr>
  </w:style>
  <w:style w:type="character" w:customStyle="1" w:styleId="104">
    <w:name w:val="页脚 字符"/>
    <w:link w:val="26"/>
    <w:qFormat/>
    <w:uiPriority w:val="99"/>
    <w:rPr>
      <w:kern w:val="2"/>
      <w:sz w:val="18"/>
      <w:szCs w:val="18"/>
    </w:rPr>
  </w:style>
  <w:style w:type="character" w:customStyle="1" w:styleId="105">
    <w:name w:val="标题 字符"/>
    <w:link w:val="41"/>
    <w:qFormat/>
    <w:uiPriority w:val="0"/>
    <w:rPr>
      <w:rFonts w:ascii="Cambria" w:hAnsi="Cambria"/>
      <w:b/>
      <w:kern w:val="2"/>
      <w:sz w:val="44"/>
    </w:rPr>
  </w:style>
  <w:style w:type="character" w:customStyle="1" w:styleId="106">
    <w:name w:val="标题 Char1"/>
    <w:qFormat/>
    <w:uiPriority w:val="10"/>
    <w:rPr>
      <w:rFonts w:ascii="Cambria" w:hAnsi="Cambria" w:cs="Times New Roman"/>
      <w:b/>
      <w:bCs/>
      <w:kern w:val="2"/>
      <w:sz w:val="32"/>
      <w:szCs w:val="32"/>
    </w:rPr>
  </w:style>
  <w:style w:type="paragraph" w:customStyle="1" w:styleId="107">
    <w:name w:val="正文缩进1"/>
    <w:basedOn w:val="1"/>
    <w:qFormat/>
    <w:uiPriority w:val="0"/>
  </w:style>
  <w:style w:type="paragraph" w:customStyle="1" w:styleId="108">
    <w:name w:val="Pa6"/>
    <w:basedOn w:val="1"/>
    <w:next w:val="1"/>
    <w:qFormat/>
    <w:uiPriority w:val="99"/>
    <w:pPr>
      <w:autoSpaceDE w:val="0"/>
      <w:autoSpaceDN w:val="0"/>
      <w:adjustRightInd w:val="0"/>
      <w:spacing w:line="181" w:lineRule="atLeast"/>
      <w:jc w:val="left"/>
    </w:pPr>
    <w:rPr>
      <w:rFonts w:ascii="Futura Bk" w:hAnsi="Futura Bk"/>
      <w:kern w:val="0"/>
      <w:sz w:val="24"/>
    </w:rPr>
  </w:style>
  <w:style w:type="character" w:customStyle="1" w:styleId="109">
    <w:name w:val="title01"/>
    <w:basedOn w:val="47"/>
    <w:qFormat/>
    <w:uiPriority w:val="0"/>
  </w:style>
  <w:style w:type="character" w:customStyle="1" w:styleId="110">
    <w:name w:val="标题 1 字符"/>
    <w:link w:val="3"/>
    <w:qFormat/>
    <w:uiPriority w:val="0"/>
    <w:rPr>
      <w:b/>
      <w:bCs/>
      <w:kern w:val="44"/>
      <w:sz w:val="32"/>
      <w:szCs w:val="44"/>
    </w:rPr>
  </w:style>
  <w:style w:type="paragraph" w:customStyle="1" w:styleId="111">
    <w:name w:val="Char1"/>
    <w:basedOn w:val="1"/>
    <w:qFormat/>
    <w:uiPriority w:val="0"/>
    <w:pPr>
      <w:widowControl/>
      <w:spacing w:after="160" w:line="240" w:lineRule="exact"/>
      <w:jc w:val="left"/>
    </w:pPr>
    <w:rPr>
      <w:szCs w:val="20"/>
    </w:rPr>
  </w:style>
  <w:style w:type="paragraph" w:customStyle="1" w:styleId="112">
    <w:name w:val="CM30"/>
    <w:basedOn w:val="1"/>
    <w:next w:val="1"/>
    <w:qFormat/>
    <w:uiPriority w:val="0"/>
    <w:pPr>
      <w:autoSpaceDE w:val="0"/>
      <w:autoSpaceDN w:val="0"/>
      <w:adjustRightInd w:val="0"/>
      <w:spacing w:after="200"/>
      <w:jc w:val="left"/>
    </w:pPr>
    <w:rPr>
      <w:rFonts w:ascii="宋体"/>
      <w:kern w:val="0"/>
      <w:sz w:val="24"/>
    </w:rPr>
  </w:style>
  <w:style w:type="character" w:customStyle="1" w:styleId="113">
    <w:name w:val="标题 4 字符"/>
    <w:link w:val="6"/>
    <w:qFormat/>
    <w:uiPriority w:val="0"/>
    <w:rPr>
      <w:rFonts w:ascii="Arial" w:hAnsi="Arial"/>
      <w:bCs/>
      <w:kern w:val="2"/>
      <w:sz w:val="24"/>
      <w:szCs w:val="28"/>
    </w:rPr>
  </w:style>
  <w:style w:type="character" w:customStyle="1" w:styleId="114">
    <w:name w:val="正文文本缩进 字符"/>
    <w:link w:val="16"/>
    <w:qFormat/>
    <w:uiPriority w:val="0"/>
    <w:rPr>
      <w:rFonts w:ascii="宋体" w:hAnsi="宋体"/>
      <w:kern w:val="2"/>
      <w:sz w:val="24"/>
      <w:szCs w:val="24"/>
    </w:rPr>
  </w:style>
  <w:style w:type="paragraph" w:customStyle="1" w:styleId="115">
    <w:name w:val="xl33"/>
    <w:basedOn w:val="1"/>
    <w:qFormat/>
    <w:uiPriority w:val="0"/>
    <w:pPr>
      <w:widowControl/>
      <w:spacing w:before="100" w:beforeAutospacing="1" w:after="100" w:afterAutospacing="1"/>
      <w:jc w:val="center"/>
      <w:textAlignment w:val="center"/>
    </w:pPr>
    <w:rPr>
      <w:rFonts w:ascii="宋体" w:hAnsi="宋体"/>
      <w:b/>
      <w:bCs/>
      <w:kern w:val="0"/>
      <w:sz w:val="24"/>
    </w:rPr>
  </w:style>
  <w:style w:type="character" w:customStyle="1" w:styleId="116">
    <w:name w:val="正文文本缩进 2 字符"/>
    <w:link w:val="24"/>
    <w:qFormat/>
    <w:uiPriority w:val="0"/>
    <w:rPr>
      <w:kern w:val="2"/>
      <w:sz w:val="21"/>
      <w:szCs w:val="24"/>
    </w:rPr>
  </w:style>
  <w:style w:type="character" w:customStyle="1" w:styleId="117">
    <w:name w:val="正文文本缩进 3 字符"/>
    <w:link w:val="33"/>
    <w:qFormat/>
    <w:uiPriority w:val="0"/>
    <w:rPr>
      <w:kern w:val="2"/>
      <w:sz w:val="21"/>
      <w:szCs w:val="24"/>
    </w:rPr>
  </w:style>
  <w:style w:type="paragraph" w:customStyle="1" w:styleId="118">
    <w:name w:val="xl26"/>
    <w:basedOn w:val="1"/>
    <w:qFormat/>
    <w:uiPriority w:val="0"/>
    <w:pPr>
      <w:widowControl/>
      <w:spacing w:before="100" w:beforeAutospacing="1" w:after="100" w:afterAutospacing="1"/>
      <w:jc w:val="center"/>
      <w:textAlignment w:val="center"/>
    </w:pPr>
    <w:rPr>
      <w:rFonts w:ascii="宋体" w:hAnsi="宋体"/>
      <w:kern w:val="0"/>
      <w:sz w:val="24"/>
    </w:rPr>
  </w:style>
  <w:style w:type="character" w:customStyle="1" w:styleId="119">
    <w:name w:val="副标题 字符"/>
    <w:link w:val="30"/>
    <w:qFormat/>
    <w:uiPriority w:val="0"/>
    <w:rPr>
      <w:rFonts w:ascii="Cambria" w:hAnsi="Cambria" w:eastAsia="黑体"/>
      <w:bCs/>
      <w:kern w:val="28"/>
      <w:sz w:val="28"/>
      <w:szCs w:val="32"/>
    </w:rPr>
  </w:style>
  <w:style w:type="paragraph" w:customStyle="1" w:styleId="120">
    <w:name w:val="Char Char Char Char Char Char Char Char Char Char Char Char Char Char Char Char1"/>
    <w:basedOn w:val="1"/>
    <w:qFormat/>
    <w:uiPriority w:val="0"/>
    <w:pPr>
      <w:spacing w:line="500" w:lineRule="exact"/>
    </w:pPr>
    <w:rPr>
      <w:sz w:val="24"/>
    </w:rPr>
  </w:style>
  <w:style w:type="paragraph" w:customStyle="1" w:styleId="121">
    <w:name w:val="CM27"/>
    <w:basedOn w:val="55"/>
    <w:next w:val="55"/>
    <w:qFormat/>
    <w:uiPriority w:val="0"/>
    <w:pPr>
      <w:adjustRightInd w:val="0"/>
      <w:spacing w:after="513"/>
    </w:pPr>
    <w:rPr>
      <w:rFonts w:hint="default" w:ascii="宋体" w:hAnsi="Times New Roman" w:eastAsia="宋体"/>
      <w:color w:val="auto"/>
      <w:szCs w:val="24"/>
    </w:rPr>
  </w:style>
  <w:style w:type="paragraph" w:customStyle="1" w:styleId="122">
    <w:name w:val="CM5"/>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3">
    <w:name w:val="CM7"/>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4">
    <w:name w:val="CM4"/>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5">
    <w:name w:val="CM8"/>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6">
    <w:name w:val="CM6"/>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7">
    <w:name w:val="CM13"/>
    <w:basedOn w:val="55"/>
    <w:next w:val="55"/>
    <w:qFormat/>
    <w:uiPriority w:val="0"/>
    <w:pPr>
      <w:adjustRightInd w:val="0"/>
      <w:spacing w:line="491" w:lineRule="atLeast"/>
    </w:pPr>
    <w:rPr>
      <w:rFonts w:hint="default" w:ascii="宋体" w:hAnsi="Times New Roman" w:eastAsia="宋体"/>
      <w:color w:val="auto"/>
      <w:szCs w:val="24"/>
    </w:rPr>
  </w:style>
  <w:style w:type="paragraph" w:customStyle="1" w:styleId="128">
    <w:name w:val="样式 首行缩进:  2 字符 段前: 0.5 行 段后: 0.5 行"/>
    <w:basedOn w:val="1"/>
    <w:next w:val="1"/>
    <w:qFormat/>
    <w:uiPriority w:val="0"/>
    <w:pPr>
      <w:adjustRightInd w:val="0"/>
      <w:snapToGrid w:val="0"/>
      <w:spacing w:before="156" w:after="156" w:line="312" w:lineRule="auto"/>
      <w:ind w:firstLine="480" w:firstLineChars="200"/>
    </w:pPr>
    <w:rPr>
      <w:rFonts w:eastAsia="楷体_GB2312"/>
      <w:sz w:val="24"/>
      <w:szCs w:val="20"/>
    </w:rPr>
  </w:style>
  <w:style w:type="paragraph" w:customStyle="1" w:styleId="129">
    <w:name w:val="Char Char Char Char Char Char1 Char"/>
    <w:basedOn w:val="1"/>
    <w:qFormat/>
    <w:uiPriority w:val="0"/>
  </w:style>
  <w:style w:type="paragraph" w:customStyle="1" w:styleId="130">
    <w:name w:val="Char2"/>
    <w:basedOn w:val="1"/>
    <w:qFormat/>
    <w:uiPriority w:val="0"/>
  </w:style>
  <w:style w:type="character" w:customStyle="1" w:styleId="131">
    <w:name w:val="批注框文本 字符"/>
    <w:link w:val="25"/>
    <w:qFormat/>
    <w:uiPriority w:val="0"/>
    <w:rPr>
      <w:kern w:val="2"/>
      <w:sz w:val="18"/>
      <w:szCs w:val="18"/>
    </w:rPr>
  </w:style>
  <w:style w:type="character" w:customStyle="1" w:styleId="132">
    <w:name w:val="批注文字 字符"/>
    <w:link w:val="14"/>
    <w:qFormat/>
    <w:uiPriority w:val="0"/>
    <w:rPr>
      <w:kern w:val="2"/>
      <w:sz w:val="21"/>
      <w:szCs w:val="24"/>
    </w:rPr>
  </w:style>
  <w:style w:type="paragraph" w:customStyle="1" w:styleId="13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4">
    <w:name w:val="font6"/>
    <w:basedOn w:val="1"/>
    <w:qFormat/>
    <w:uiPriority w:val="0"/>
    <w:pPr>
      <w:widowControl/>
      <w:spacing w:before="100" w:beforeAutospacing="1" w:after="100" w:afterAutospacing="1"/>
      <w:jc w:val="left"/>
    </w:pPr>
    <w:rPr>
      <w:rFonts w:ascii="宋体" w:hAnsi="宋体" w:cs="宋体"/>
      <w:b/>
      <w:bCs/>
      <w:color w:val="FF0000"/>
      <w:kern w:val="0"/>
      <w:sz w:val="22"/>
      <w:szCs w:val="22"/>
    </w:rPr>
  </w:style>
  <w:style w:type="paragraph" w:customStyle="1" w:styleId="13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3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7">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24"/>
    </w:rPr>
  </w:style>
  <w:style w:type="paragraph" w:customStyle="1" w:styleId="139">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70C0"/>
      <w:kern w:val="0"/>
      <w:sz w:val="24"/>
    </w:rPr>
  </w:style>
  <w:style w:type="paragraph" w:customStyle="1" w:styleId="140">
    <w:name w:val="xl7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1">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FF0000"/>
      <w:kern w:val="0"/>
      <w:sz w:val="24"/>
    </w:rPr>
  </w:style>
  <w:style w:type="paragraph" w:customStyle="1" w:styleId="14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70C0"/>
      <w:kern w:val="0"/>
      <w:sz w:val="24"/>
    </w:rPr>
  </w:style>
  <w:style w:type="paragraph" w:customStyle="1" w:styleId="143">
    <w:name w:val="xl73"/>
    <w:basedOn w:val="1"/>
    <w:qFormat/>
    <w:uiPriority w:val="0"/>
    <w:pPr>
      <w:widowControl/>
      <w:spacing w:before="100" w:beforeAutospacing="1" w:after="100" w:afterAutospacing="1"/>
      <w:jc w:val="left"/>
    </w:pPr>
    <w:rPr>
      <w:rFonts w:ascii="宋体" w:hAnsi="宋体" w:cs="宋体"/>
      <w:kern w:val="0"/>
      <w:sz w:val="24"/>
    </w:rPr>
  </w:style>
  <w:style w:type="paragraph" w:customStyle="1" w:styleId="144">
    <w:name w:val="xl74"/>
    <w:basedOn w:val="1"/>
    <w:qFormat/>
    <w:uiPriority w:val="0"/>
    <w:pPr>
      <w:widowControl/>
      <w:spacing w:before="100" w:beforeAutospacing="1" w:after="100" w:afterAutospacing="1"/>
      <w:jc w:val="left"/>
    </w:pPr>
    <w:rPr>
      <w:rFonts w:ascii="宋体" w:hAnsi="宋体" w:cs="宋体"/>
      <w:kern w:val="0"/>
      <w:sz w:val="24"/>
    </w:rPr>
  </w:style>
  <w:style w:type="paragraph" w:customStyle="1" w:styleId="145">
    <w:name w:val="xl7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4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47">
    <w:name w:val="xl77"/>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24"/>
    </w:rPr>
  </w:style>
  <w:style w:type="paragraph" w:customStyle="1" w:styleId="148">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49">
    <w:name w:val="xl7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50">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1">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2">
    <w:name w:val="xl82"/>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53">
    <w:name w:val="xl8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54">
    <w:name w:val="_Style 28"/>
    <w:basedOn w:val="1"/>
    <w:qFormat/>
    <w:uiPriority w:val="0"/>
    <w:rPr>
      <w:rFonts w:ascii="Tahoma" w:hAnsi="Tahoma"/>
      <w:sz w:val="24"/>
    </w:rPr>
  </w:style>
  <w:style w:type="character" w:customStyle="1" w:styleId="155">
    <w:name w:val="标准文本 Char"/>
    <w:link w:val="156"/>
    <w:qFormat/>
    <w:locked/>
    <w:uiPriority w:val="99"/>
    <w:rPr>
      <w:kern w:val="2"/>
    </w:rPr>
  </w:style>
  <w:style w:type="paragraph" w:customStyle="1" w:styleId="156">
    <w:name w:val="标准文本"/>
    <w:basedOn w:val="1"/>
    <w:link w:val="155"/>
    <w:qFormat/>
    <w:uiPriority w:val="99"/>
    <w:pPr>
      <w:spacing w:line="360" w:lineRule="auto"/>
      <w:ind w:firstLine="480" w:firstLineChars="200"/>
    </w:pPr>
    <w:rPr>
      <w:sz w:val="20"/>
      <w:szCs w:val="20"/>
    </w:rPr>
  </w:style>
  <w:style w:type="paragraph" w:customStyle="1" w:styleId="157">
    <w:name w:val="[Normal]"/>
    <w:qFormat/>
    <w:uiPriority w:val="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eastAsia="宋体" w:cs="Times New Roman"/>
      <w:sz w:val="24"/>
      <w:szCs w:val="24"/>
      <w:lang w:val="en-US" w:eastAsia="zh-CN" w:bidi="ar-SA"/>
    </w:rPr>
  </w:style>
  <w:style w:type="character" w:customStyle="1" w:styleId="158">
    <w:name w:val="标题1"/>
    <w:basedOn w:val="47"/>
    <w:qFormat/>
    <w:uiPriority w:val="0"/>
  </w:style>
  <w:style w:type="paragraph" w:customStyle="1" w:styleId="159">
    <w:name w:val="报告正文"/>
    <w:basedOn w:val="1"/>
    <w:qFormat/>
    <w:uiPriority w:val="0"/>
    <w:pPr>
      <w:adjustRightInd w:val="0"/>
      <w:snapToGrid w:val="0"/>
      <w:spacing w:line="288" w:lineRule="auto"/>
      <w:ind w:left="3060" w:leftChars="1700"/>
    </w:pPr>
    <w:rPr>
      <w:rFonts w:ascii="华文细黑" w:hAnsi="华文细黑" w:eastAsia="华文细黑" w:cs="宋体"/>
      <w:szCs w:val="20"/>
    </w:rPr>
  </w:style>
  <w:style w:type="paragraph" w:customStyle="1" w:styleId="160">
    <w:name w:val="_Style 1"/>
    <w:basedOn w:val="1"/>
    <w:qFormat/>
    <w:uiPriority w:val="34"/>
    <w:pPr>
      <w:ind w:firstLine="420" w:firstLineChars="200"/>
    </w:pPr>
  </w:style>
  <w:style w:type="paragraph" w:customStyle="1" w:styleId="161">
    <w:name w:val="列出段落2"/>
    <w:basedOn w:val="1"/>
    <w:unhideWhenUsed/>
    <w:qFormat/>
    <w:uiPriority w:val="99"/>
    <w:pPr>
      <w:ind w:firstLine="420" w:firstLineChars="200"/>
    </w:pPr>
  </w:style>
  <w:style w:type="character" w:customStyle="1" w:styleId="162">
    <w:name w:val="c lh15"/>
    <w:basedOn w:val="47"/>
    <w:qFormat/>
    <w:uiPriority w:val="0"/>
  </w:style>
  <w:style w:type="character" w:customStyle="1" w:styleId="163">
    <w:name w:val="正文文本 3 字符"/>
    <w:basedOn w:val="47"/>
    <w:link w:val="15"/>
    <w:qFormat/>
    <w:uiPriority w:val="0"/>
    <w:rPr>
      <w:color w:val="FF00FF"/>
      <w:kern w:val="2"/>
      <w:sz w:val="21"/>
      <w:szCs w:val="24"/>
    </w:rPr>
  </w:style>
  <w:style w:type="character" w:customStyle="1" w:styleId="164">
    <w:name w:val="Default Char Char"/>
    <w:link w:val="55"/>
    <w:qFormat/>
    <w:uiPriority w:val="0"/>
    <w:rPr>
      <w:rFonts w:ascii="微软雅黑" w:hAnsi="微软雅黑" w:eastAsia="微软雅黑"/>
      <w:color w:val="000000"/>
      <w:sz w:val="24"/>
    </w:rPr>
  </w:style>
  <w:style w:type="paragraph" w:customStyle="1" w:styleId="165">
    <w:name w:val="WPSOffice手动目录 1"/>
    <w:qFormat/>
    <w:uiPriority w:val="0"/>
    <w:rPr>
      <w:rFonts w:ascii="Times New Roman" w:hAnsi="Times New Roman" w:eastAsia="宋体" w:cs="Times New Roman"/>
      <w:lang w:val="en-US" w:eastAsia="zh-CN" w:bidi="ar-SA"/>
    </w:rPr>
  </w:style>
  <w:style w:type="paragraph" w:customStyle="1" w:styleId="16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67">
    <w:name w:val="Table Paragraph"/>
    <w:basedOn w:val="1"/>
    <w:qFormat/>
    <w:uiPriority w:val="1"/>
    <w:rPr>
      <w:rFonts w:ascii="宋体" w:hAnsi="宋体" w:cs="宋体"/>
      <w:lang w:val="zh-CN" w:bidi="zh-CN"/>
    </w:rPr>
  </w:style>
  <w:style w:type="table" w:customStyle="1" w:styleId="168">
    <w:name w:val="Table Normal"/>
    <w:semiHidden/>
    <w:unhideWhenUsed/>
    <w:qFormat/>
    <w:uiPriority w:val="0"/>
    <w:tblPr>
      <w:tblCellMar>
        <w:top w:w="0" w:type="dxa"/>
        <w:left w:w="0" w:type="dxa"/>
        <w:bottom w:w="0" w:type="dxa"/>
        <w:right w:w="0" w:type="dxa"/>
      </w:tblCellMar>
    </w:tblPr>
  </w:style>
  <w:style w:type="paragraph" w:styleId="169">
    <w:name w:val="List Paragraph"/>
    <w:basedOn w:val="1"/>
    <w:qFormat/>
    <w:uiPriority w:val="99"/>
    <w:pPr>
      <w:ind w:firstLine="420" w:firstLineChars="200"/>
    </w:pPr>
    <w:rPr>
      <w:rFonts w:ascii="Calibri" w:hAnsi="Calibri"/>
      <w:szCs w:val="22"/>
    </w:rPr>
  </w:style>
  <w:style w:type="paragraph" w:customStyle="1" w:styleId="170">
    <w:name w:val="标准段落正文"/>
    <w:basedOn w:val="171"/>
    <w:qFormat/>
    <w:uiPriority w:val="0"/>
    <w:pPr>
      <w:spacing w:line="360" w:lineRule="auto"/>
      <w:ind w:firstLine="480" w:firstLineChars="200"/>
    </w:pPr>
  </w:style>
  <w:style w:type="paragraph" w:customStyle="1" w:styleId="171">
    <w:name w:val="单括号小标题"/>
    <w:basedOn w:val="1"/>
    <w:qFormat/>
    <w:uiPriority w:val="0"/>
    <w:pPr>
      <w:spacing w:beforeLines="50" w:afterLines="100"/>
      <w:ind w:left="567"/>
      <w:jc w:val="left"/>
    </w:pPr>
    <w:rPr>
      <w:rFonts w:ascii="Calibri" w:hAnsi="Calibri" w:eastAsia="黑体"/>
      <w:sz w:val="24"/>
      <w:szCs w:val="22"/>
    </w:rPr>
  </w:style>
  <w:style w:type="paragraph" w:customStyle="1" w:styleId="172">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173">
    <w:name w:val="K&amp;W heading 3"/>
    <w:basedOn w:val="1"/>
    <w:qFormat/>
    <w:uiPriority w:val="0"/>
    <w:pPr>
      <w:spacing w:before="100" w:beforeAutospacing="1" w:after="360" w:line="320" w:lineRule="exact"/>
      <w:outlineLvl w:val="2"/>
    </w:pPr>
  </w:style>
  <w:style w:type="paragraph" w:customStyle="1" w:styleId="174">
    <w:name w:val="首行缩进"/>
    <w:basedOn w:val="1"/>
    <w:qFormat/>
    <w:uiPriority w:val="0"/>
    <w:pPr>
      <w:spacing w:line="560" w:lineRule="exact"/>
      <w:ind w:firstLine="643" w:firstLineChars="200"/>
    </w:pPr>
    <w:rPr>
      <w:rFonts w:ascii="Calibri" w:hAnsi="Calibri" w:eastAsia="宋体"/>
      <w:lang w:val="zh-CN"/>
    </w:rPr>
  </w:style>
  <w:style w:type="paragraph" w:customStyle="1" w:styleId="17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6">
    <w:name w:val="c-icon28"/>
    <w:basedOn w:val="47"/>
    <w:qFormat/>
    <w:uiPriority w:val="0"/>
  </w:style>
  <w:style w:type="character" w:customStyle="1" w:styleId="177">
    <w:name w:val="hover28"/>
    <w:basedOn w:val="47"/>
    <w:qFormat/>
    <w:uiPriority w:val="0"/>
    <w:rPr>
      <w:color w:val="315EFB"/>
      <w:shd w:val="clear" w:fill="F0F3FD"/>
    </w:rPr>
  </w:style>
  <w:style w:type="character" w:customStyle="1" w:styleId="178">
    <w:name w:val="hover29"/>
    <w:basedOn w:val="47"/>
    <w:qFormat/>
    <w:uiPriority w:val="0"/>
    <w:rPr>
      <w:color w:val="315EFB"/>
    </w:rPr>
  </w:style>
  <w:style w:type="character" w:customStyle="1" w:styleId="179">
    <w:name w:val="hover30"/>
    <w:basedOn w:val="47"/>
    <w:qFormat/>
    <w:uiPriority w:val="0"/>
  </w:style>
  <w:style w:type="character" w:customStyle="1" w:styleId="180">
    <w:name w:val="hover31"/>
    <w:basedOn w:val="47"/>
    <w:qFormat/>
    <w:uiPriority w:val="0"/>
    <w:rPr>
      <w:color w:val="315EFB"/>
    </w:rPr>
  </w:style>
  <w:style w:type="character" w:customStyle="1" w:styleId="181">
    <w:name w:val="c-icon"/>
    <w:basedOn w:val="47"/>
    <w:qFormat/>
    <w:uiPriority w:val="0"/>
  </w:style>
  <w:style w:type="character" w:customStyle="1" w:styleId="182">
    <w:name w:val="hover26"/>
    <w:basedOn w:val="47"/>
    <w:qFormat/>
    <w:uiPriority w:val="0"/>
    <w:rPr>
      <w:color w:val="315EFB"/>
      <w:shd w:val="clear" w:fill="F0F3FD"/>
    </w:rPr>
  </w:style>
  <w:style w:type="character" w:customStyle="1" w:styleId="183">
    <w:name w:val="hover27"/>
    <w:basedOn w:val="47"/>
    <w:qFormat/>
    <w:uiPriority w:val="0"/>
    <w:rPr>
      <w:color w:val="315EFB"/>
    </w:rPr>
  </w:style>
  <w:style w:type="character" w:customStyle="1" w:styleId="184">
    <w:name w:val="hover"/>
    <w:basedOn w:val="47"/>
    <w:qFormat/>
    <w:uiPriority w:val="0"/>
    <w:rPr>
      <w:color w:val="315EFB"/>
    </w:rPr>
  </w:style>
  <w:style w:type="character" w:customStyle="1" w:styleId="185">
    <w:name w:val="hover1"/>
    <w:basedOn w:val="47"/>
    <w:qFormat/>
    <w:uiPriority w:val="0"/>
  </w:style>
  <w:style w:type="character" w:customStyle="1" w:styleId="186">
    <w:name w:val="hover2"/>
    <w:basedOn w:val="47"/>
    <w:qFormat/>
    <w:uiPriority w:val="0"/>
    <w:rPr>
      <w:color w:val="315EFB"/>
      <w:shd w:val="clear" w:fill="F0F3FD"/>
    </w:rPr>
  </w:style>
  <w:style w:type="character" w:customStyle="1" w:styleId="187">
    <w:name w:val="hover3"/>
    <w:basedOn w:val="47"/>
    <w:qFormat/>
    <w:uiPriority w:val="0"/>
    <w:rPr>
      <w:color w:val="315EFB"/>
    </w:rPr>
  </w:style>
  <w:style w:type="character" w:customStyle="1" w:styleId="188">
    <w:name w:val="c-icon30"/>
    <w:basedOn w:val="47"/>
    <w:qFormat/>
    <w:uiPriority w:val="0"/>
  </w:style>
  <w:style w:type="character" w:customStyle="1" w:styleId="189">
    <w:name w:val="hover25"/>
    <w:basedOn w:val="47"/>
    <w:qFormat/>
    <w:uiPriority w:val="0"/>
  </w:style>
  <w:style w:type="character" w:customStyle="1" w:styleId="190">
    <w:name w:val="15"/>
    <w:qFormat/>
    <w:uiPriority w:val="0"/>
    <w:rPr>
      <w:rFonts w:hint="eastAsia" w:ascii="宋体" w:hAnsi="Times New Roman" w:eastAsia="宋体" w:cs="宋体"/>
      <w:sz w:val="21"/>
      <w:szCs w:val="21"/>
      <w:shd w:val="clear" w:color="auto" w:fill="FFFFFF"/>
    </w:rPr>
  </w:style>
  <w:style w:type="paragraph" w:customStyle="1" w:styleId="191">
    <w:name w:val="ENFI表体"/>
    <w:basedOn w:val="1"/>
    <w:qFormat/>
    <w:uiPriority w:val="0"/>
    <w:pPr>
      <w:widowControl/>
      <w:adjustRightInd w:val="0"/>
      <w:snapToGrid w:val="0"/>
      <w:spacing w:line="240" w:lineRule="atLeast"/>
      <w:ind w:firstLine="0" w:firstLineChars="0"/>
      <w:jc w:val="center"/>
    </w:pPr>
    <w:rPr>
      <w:rFonts w:ascii="Times New Roman" w:hAnsi="Times New Roman"/>
      <w:kern w:val="0"/>
      <w:sz w:val="21"/>
      <w:szCs w:val="20"/>
    </w:rPr>
  </w:style>
  <w:style w:type="paragraph" w:customStyle="1" w:styleId="192">
    <w:name w:val="1"/>
    <w:basedOn w:val="1"/>
    <w:next w:val="2"/>
    <w:qFormat/>
    <w:uiPriority w:val="0"/>
    <w:rPr>
      <w:sz w:val="24"/>
      <w:szCs w:val="24"/>
    </w:rPr>
  </w:style>
  <w:style w:type="paragraph" w:customStyle="1" w:styleId="193">
    <w:name w:val="Table Text"/>
    <w:basedOn w:val="1"/>
    <w:semiHidden/>
    <w:qFormat/>
    <w:uiPriority w:val="0"/>
    <w:rPr>
      <w:rFonts w:ascii="宋体" w:hAnsi="宋体" w:eastAsia="宋体" w:cs="宋体"/>
      <w:sz w:val="24"/>
      <w:szCs w:val="24"/>
      <w:lang w:val="en-US" w:eastAsia="en-US" w:bidi="ar-SA"/>
    </w:rPr>
  </w:style>
  <w:style w:type="paragraph" w:customStyle="1" w:styleId="19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CACF9C-FFF0-4AAB-827A-0BD36009E0F6}">
  <ds:schemaRefs/>
</ds:datastoreItem>
</file>

<file path=docProps/app.xml><?xml version="1.0" encoding="utf-8"?>
<Properties xmlns="http://schemas.openxmlformats.org/officeDocument/2006/extended-properties" xmlns:vt="http://schemas.openxmlformats.org/officeDocument/2006/docPropsVTypes">
  <Template>Normal.dotm</Template>
  <Pages>76</Pages>
  <Words>37153</Words>
  <Characters>39214</Characters>
  <Lines>320</Lines>
  <Paragraphs>90</Paragraphs>
  <TotalTime>4</TotalTime>
  <ScaleCrop>false</ScaleCrop>
  <LinksUpToDate>false</LinksUpToDate>
  <CharactersWithSpaces>42922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2016-08-12T03:41:00Z</dcterms:created>
  <cp:lastPrinted>2023-05-29T01:14:00Z</cp:lastPrinted>
  <dcterms:modified xsi:type="dcterms:W3CDTF">2023-12-12T06:14:28Z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B26C01393952488391A1A6DAE1FE146B_13</vt:lpwstr>
  </property>
</Properties>
</file>